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jc w:val="center"/>
        <w:outlineLvl w:val="3"/>
        <w:rPr>
          <w:rFonts w:ascii="黑体" w:hAnsi="宋体" w:eastAsia="黑体" w:cs="宋体"/>
          <w:b/>
          <w:kern w:val="0"/>
          <w:sz w:val="48"/>
          <w:szCs w:val="48"/>
        </w:rPr>
      </w:pPr>
    </w:p>
    <w:p>
      <w:pPr>
        <w:widowControl/>
        <w:spacing w:before="100" w:beforeAutospacing="1" w:after="100" w:afterAutospacing="1"/>
        <w:jc w:val="center"/>
        <w:outlineLvl w:val="3"/>
        <w:rPr>
          <w:rFonts w:ascii="黑体" w:hAnsi="宋体" w:eastAsia="黑体" w:cs="宋体"/>
          <w:b/>
          <w:kern w:val="0"/>
          <w:sz w:val="48"/>
          <w:szCs w:val="48"/>
        </w:rPr>
      </w:pPr>
    </w:p>
    <w:p>
      <w:pPr>
        <w:widowControl/>
        <w:spacing w:before="100" w:beforeAutospacing="1" w:after="100" w:afterAutospacing="1"/>
        <w:jc w:val="center"/>
        <w:outlineLvl w:val="3"/>
        <w:rPr>
          <w:rFonts w:ascii="黑体" w:hAnsi="宋体" w:eastAsia="黑体" w:cs="宋体"/>
          <w:b/>
          <w:kern w:val="0"/>
          <w:sz w:val="48"/>
          <w:szCs w:val="48"/>
        </w:rPr>
      </w:pPr>
    </w:p>
    <w:p>
      <w:pPr>
        <w:widowControl/>
        <w:spacing w:before="100" w:beforeAutospacing="1" w:after="100" w:afterAutospacing="1"/>
        <w:jc w:val="center"/>
        <w:outlineLvl w:val="3"/>
        <w:rPr>
          <w:rFonts w:ascii="黑体" w:hAnsi="宋体" w:eastAsia="黑体" w:cs="宋体"/>
          <w:b/>
          <w:kern w:val="0"/>
          <w:sz w:val="48"/>
          <w:szCs w:val="48"/>
        </w:rPr>
      </w:pPr>
    </w:p>
    <w:p>
      <w:pPr>
        <w:widowControl/>
        <w:spacing w:before="100" w:beforeAutospacing="1" w:after="100" w:afterAutospacing="1"/>
        <w:jc w:val="center"/>
        <w:outlineLvl w:val="3"/>
        <w:rPr>
          <w:rFonts w:ascii="黑体" w:hAnsi="宋体" w:eastAsia="黑体" w:cs="宋体"/>
          <w:b/>
          <w:kern w:val="0"/>
          <w:sz w:val="48"/>
          <w:szCs w:val="48"/>
        </w:rPr>
      </w:pPr>
      <w:r>
        <w:rPr>
          <w:rFonts w:hint="eastAsia" w:ascii="黑体" w:hAnsi="宋体" w:eastAsia="黑体" w:cs="宋体"/>
          <w:b/>
          <w:kern w:val="0"/>
          <w:sz w:val="48"/>
          <w:szCs w:val="48"/>
        </w:rPr>
        <w:t>201</w:t>
      </w:r>
      <w:r>
        <w:rPr>
          <w:rFonts w:hint="eastAsia" w:ascii="黑体" w:hAnsi="宋体" w:eastAsia="黑体" w:cs="宋体"/>
          <w:b/>
          <w:kern w:val="0"/>
          <w:sz w:val="48"/>
          <w:szCs w:val="48"/>
          <w:lang w:val="en-US" w:eastAsia="zh-CN"/>
        </w:rPr>
        <w:t>4</w:t>
      </w:r>
      <w:r>
        <w:rPr>
          <w:rFonts w:hint="eastAsia" w:ascii="黑体" w:hAnsi="宋体" w:eastAsia="黑体" w:cs="宋体"/>
          <w:b/>
          <w:kern w:val="0"/>
          <w:sz w:val="48"/>
          <w:szCs w:val="48"/>
        </w:rPr>
        <w:t>年临沂市住房和城乡建设委员会</w:t>
      </w:r>
    </w:p>
    <w:p>
      <w:pPr>
        <w:widowControl/>
        <w:spacing w:before="100" w:beforeAutospacing="1" w:after="100" w:afterAutospacing="1"/>
        <w:jc w:val="center"/>
        <w:outlineLvl w:val="3"/>
        <w:rPr>
          <w:rFonts w:ascii="黑体" w:hAnsi="宋体" w:eastAsia="黑体" w:cs="宋体"/>
          <w:b/>
          <w:kern w:val="0"/>
          <w:sz w:val="48"/>
          <w:szCs w:val="48"/>
        </w:rPr>
      </w:pPr>
      <w:r>
        <w:rPr>
          <w:rFonts w:hint="eastAsia" w:ascii="黑体" w:hAnsi="宋体" w:eastAsia="黑体" w:cs="宋体"/>
          <w:b/>
          <w:kern w:val="0"/>
          <w:sz w:val="48"/>
          <w:szCs w:val="48"/>
        </w:rPr>
        <w:t>部门预算</w:t>
      </w: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p>
    <w:p>
      <w:pPr>
        <w:widowControl/>
        <w:spacing w:before="100" w:beforeAutospacing="1" w:after="100" w:afterAutospacing="1"/>
        <w:ind w:firstLine="420"/>
        <w:jc w:val="center"/>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目  录</w:t>
      </w:r>
    </w:p>
    <w:p>
      <w:pPr>
        <w:widowControl/>
        <w:jc w:val="left"/>
        <w:rPr>
          <w:rFonts w:ascii="仿宋_GB2312" w:hAnsi="宋体" w:eastAsia="仿宋_GB2312" w:cs="宋体"/>
          <w:kern w:val="0"/>
          <w:sz w:val="32"/>
          <w:szCs w:val="32"/>
        </w:rPr>
      </w:pPr>
      <w:r>
        <w:rPr>
          <w:rFonts w:hint="eastAsia" w:ascii="仿宋_GB2312" w:hAnsi="宋体" w:eastAsia="仿宋_GB2312" w:cs="宋体"/>
          <w:kern w:val="0"/>
          <w:sz w:val="32"/>
          <w:szCs w:val="32"/>
        </w:rPr>
        <w:t>第一部分  概况</w:t>
      </w:r>
    </w:p>
    <w:p>
      <w:pPr>
        <w:pStyle w:val="6"/>
        <w:widowControl/>
        <w:numPr>
          <w:ilvl w:val="0"/>
          <w:numId w:val="1"/>
        </w:numPr>
        <w:ind w:firstLineChars="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单位基本情况及主要职能</w:t>
      </w:r>
    </w:p>
    <w:p>
      <w:pPr>
        <w:pStyle w:val="6"/>
        <w:widowControl/>
        <w:numPr>
          <w:ilvl w:val="0"/>
          <w:numId w:val="1"/>
        </w:numPr>
        <w:ind w:firstLineChars="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部门预算单位构成</w:t>
      </w:r>
    </w:p>
    <w:p>
      <w:pPr>
        <w:widowControl/>
        <w:jc w:val="left"/>
        <w:rPr>
          <w:rFonts w:ascii="仿宋_GB2312" w:hAnsi="宋体" w:eastAsia="仿宋_GB2312" w:cs="宋体"/>
          <w:kern w:val="0"/>
          <w:sz w:val="32"/>
          <w:szCs w:val="32"/>
        </w:rPr>
      </w:pPr>
      <w:r>
        <w:rPr>
          <w:rFonts w:hint="eastAsia" w:ascii="仿宋_GB2312" w:hAnsi="宋体" w:eastAsia="仿宋_GB2312" w:cs="宋体"/>
          <w:kern w:val="0"/>
          <w:sz w:val="32"/>
          <w:szCs w:val="32"/>
        </w:rPr>
        <w:t>第二部分  201</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年部门预算表</w:t>
      </w:r>
    </w:p>
    <w:p>
      <w:pPr>
        <w:widowControl/>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一、201</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年收支预算表</w:t>
      </w:r>
    </w:p>
    <w:p>
      <w:pPr>
        <w:widowControl/>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二、201</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年财政拨款支出预算表</w:t>
      </w:r>
    </w:p>
    <w:p>
      <w:pPr>
        <w:widowControl/>
        <w:jc w:val="left"/>
        <w:rPr>
          <w:rFonts w:ascii="仿宋_GB2312" w:eastAsia="仿宋_GB2312"/>
          <w:sz w:val="32"/>
          <w:szCs w:val="32"/>
        </w:rPr>
      </w:pPr>
      <w:r>
        <w:rPr>
          <w:rFonts w:hint="eastAsia" w:ascii="仿宋_GB2312" w:hAnsi="宋体" w:eastAsia="仿宋_GB2312" w:cs="宋体"/>
          <w:kern w:val="0"/>
          <w:sz w:val="32"/>
          <w:szCs w:val="32"/>
        </w:rPr>
        <w:t xml:space="preserve">    三、</w:t>
      </w: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年“三公”经费支出预算表</w:t>
      </w:r>
    </w:p>
    <w:p>
      <w:pPr>
        <w:widowControl/>
        <w:jc w:val="left"/>
        <w:rPr>
          <w:rFonts w:ascii="仿宋_GB2312" w:hAnsi="宋体" w:eastAsia="仿宋_GB2312" w:cs="宋体"/>
          <w:kern w:val="0"/>
          <w:sz w:val="32"/>
          <w:szCs w:val="32"/>
        </w:rPr>
      </w:pPr>
      <w:r>
        <w:rPr>
          <w:rFonts w:hint="eastAsia" w:ascii="仿宋_GB2312" w:eastAsia="仿宋_GB2312"/>
          <w:sz w:val="32"/>
          <w:szCs w:val="32"/>
        </w:rPr>
        <w:t>第三部分  201</w:t>
      </w:r>
      <w:r>
        <w:rPr>
          <w:rFonts w:hint="eastAsia" w:ascii="仿宋_GB2312" w:eastAsia="仿宋_GB2312"/>
          <w:sz w:val="32"/>
          <w:szCs w:val="32"/>
          <w:lang w:val="en-US" w:eastAsia="zh-CN"/>
        </w:rPr>
        <w:t>4</w:t>
      </w:r>
      <w:r>
        <w:rPr>
          <w:rFonts w:hint="eastAsia" w:ascii="仿宋_GB2312" w:eastAsia="仿宋_GB2312"/>
          <w:sz w:val="32"/>
          <w:szCs w:val="32"/>
        </w:rPr>
        <w:t>年部门预算情况说明</w:t>
      </w:r>
    </w:p>
    <w:p>
      <w:pPr>
        <w:widowControl/>
        <w:spacing w:before="100" w:beforeAutospacing="1" w:after="100" w:afterAutospacing="1"/>
        <w:ind w:firstLine="420"/>
        <w:jc w:val="left"/>
        <w:outlineLvl w:val="3"/>
        <w:rPr>
          <w:rFonts w:ascii="宋体" w:hAnsi="宋体" w:eastAsia="宋体" w:cs="宋体"/>
          <w:kern w:val="0"/>
          <w:szCs w:val="21"/>
        </w:rPr>
      </w:pPr>
    </w:p>
    <w:p>
      <w:pPr>
        <w:widowControl/>
        <w:spacing w:before="100" w:beforeAutospacing="1" w:after="100" w:afterAutospacing="1"/>
        <w:ind w:firstLine="420"/>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left"/>
        <w:outlineLvl w:val="3"/>
        <w:rPr>
          <w:rFonts w:ascii="宋体" w:hAnsi="宋体" w:eastAsia="宋体" w:cs="宋体"/>
          <w:kern w:val="0"/>
          <w:szCs w:val="21"/>
        </w:rPr>
      </w:pPr>
    </w:p>
    <w:p>
      <w:pPr>
        <w:widowControl/>
        <w:spacing w:before="100" w:beforeAutospacing="1" w:after="100" w:afterAutospacing="1"/>
        <w:jc w:val="center"/>
        <w:outlineLvl w:val="3"/>
        <w:rPr>
          <w:rFonts w:ascii="黑体" w:hAnsi="宋体" w:eastAsia="黑体" w:cs="宋体"/>
          <w:b/>
          <w:kern w:val="0"/>
          <w:sz w:val="32"/>
          <w:szCs w:val="32"/>
        </w:rPr>
      </w:pPr>
    </w:p>
    <w:p>
      <w:pPr>
        <w:widowControl/>
        <w:spacing w:before="100" w:beforeAutospacing="1" w:after="100" w:afterAutospacing="1"/>
        <w:jc w:val="center"/>
        <w:outlineLvl w:val="3"/>
        <w:rPr>
          <w:rFonts w:ascii="黑体" w:hAnsi="宋体" w:eastAsia="黑体" w:cs="宋体"/>
          <w:b/>
          <w:kern w:val="0"/>
          <w:sz w:val="44"/>
          <w:szCs w:val="44"/>
        </w:rPr>
      </w:pPr>
      <w:r>
        <w:rPr>
          <w:rFonts w:hint="eastAsia" w:ascii="黑体" w:hAnsi="宋体" w:eastAsia="黑体" w:cs="宋体"/>
          <w:b/>
          <w:kern w:val="0"/>
          <w:sz w:val="44"/>
          <w:szCs w:val="44"/>
        </w:rPr>
        <w:t>第一部分</w:t>
      </w:r>
      <w:r>
        <w:rPr>
          <w:rFonts w:hint="eastAsia" w:ascii="黑体" w:hAnsi="宋体" w:eastAsia="黑体" w:cs="宋体"/>
          <w:b/>
          <w:kern w:val="0"/>
          <w:sz w:val="44"/>
          <w:szCs w:val="44"/>
          <w:lang w:val="en-US" w:eastAsia="zh-CN"/>
        </w:rPr>
        <w:t xml:space="preserve">    </w:t>
      </w:r>
      <w:r>
        <w:rPr>
          <w:rFonts w:hint="eastAsia" w:ascii="黑体" w:hAnsi="宋体" w:eastAsia="黑体" w:cs="宋体"/>
          <w:b/>
          <w:kern w:val="0"/>
          <w:sz w:val="44"/>
          <w:szCs w:val="44"/>
        </w:rPr>
        <w:t>概    况</w:t>
      </w:r>
    </w:p>
    <w:p>
      <w:pPr>
        <w:widowControl/>
        <w:spacing w:before="100" w:beforeAutospacing="1" w:after="100" w:afterAutospacing="1" w:line="580" w:lineRule="exact"/>
        <w:ind w:firstLine="643" w:firstLineChars="200"/>
        <w:outlineLvl w:val="3"/>
        <w:rPr>
          <w:rFonts w:ascii="仿宋_GB2312" w:hAnsi="宋体" w:eastAsia="仿宋_GB2312" w:cs="宋体"/>
          <w:b/>
          <w:kern w:val="0"/>
          <w:sz w:val="32"/>
          <w:szCs w:val="32"/>
        </w:rPr>
      </w:pPr>
      <w:r>
        <w:rPr>
          <w:rFonts w:hint="eastAsia" w:ascii="仿宋_GB2312" w:hAnsi="宋体" w:eastAsia="仿宋_GB2312" w:cs="宋体"/>
          <w:b/>
          <w:kern w:val="0"/>
          <w:sz w:val="32"/>
          <w:szCs w:val="32"/>
        </w:rPr>
        <w:t>一、</w:t>
      </w:r>
      <w:r>
        <w:rPr>
          <w:rFonts w:hint="eastAsia" w:ascii="仿宋_GB2312" w:hAnsi="宋体" w:eastAsia="仿宋_GB2312" w:cs="宋体"/>
          <w:b/>
          <w:kern w:val="0"/>
          <w:sz w:val="32"/>
          <w:szCs w:val="32"/>
          <w:lang w:eastAsia="zh-CN"/>
        </w:rPr>
        <w:t>单位基本情况及主要职能</w:t>
      </w:r>
    </w:p>
    <w:p>
      <w:pPr>
        <w:widowControl/>
        <w:spacing w:before="100" w:beforeAutospacing="1" w:after="100" w:afterAutospacing="1" w:line="580" w:lineRule="exact"/>
        <w:ind w:firstLine="640" w:firstLineChars="200"/>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一)贯彻执行国家、省有关住房和城乡建设工作的方针、政策和法律、法规；拟定全市住房和城乡建设发展规划并组织实施。负责全市住房和城乡建设的行业管理；研究提出与住房和城乡建设有关问题的政策建议。</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（二）指导住房建设和住房制度改革，指导全市住房政策拟定和全市住房建设规划、年度计划的编制。</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三）承担建立金市科学规范的工程建设标准体系的责任；负责全市工程建设造价和标准定额管理工作；组织执行工程建设实施阶段的国家标准、经济定额和行业标准定额；组织制定发布地方工程建设标准、定额和材料价格；组织制定地方建设项目可行性研究、经济技术评价方法、经济参数、建设标准、投资估算指标、建设工程定额、建设用地指标、工程造价管理、建设工程交易制度并会同有关部门联合发布；组织制定地方市政公用事业的经济指数、作业定额、费用标准等管理制度；负责全市工程造价咨询单位的资质管理工作。</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四）监督管理建筑市场，规范市场各方主体行为；指导全市并负责城市规划区内建设工程质量和安全、招标投标、工程交易、有形市场、建筑企业养老保障金统筹的监督管理工作；负责对全市住房和城乡建设相关行业进行监督管理和相关企业资质的管理。</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五）负责全市勘察设计行业管理工作;负责勘察设计单位的资质管理管理和行业工作;负责监督实施各类房屋建筑及其附属设施和城市市政设施的建设工程抗震设计规范;协同有关部门做好城市民用建筑结合修建人防工程的管理工作。</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（六）负责全市城市市政公用事业行业管理;负责城市规划区内雕塑建设管理工作。</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（七）承担规范村镇建设、指导全市村镇建设的责任；拟订村庄和小城镇建设政策并指导实施；指导全市农村住房建设和危房改造工作，综合协调中心村建设。</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（八）负责全市城乡建设综合开发、配套建设的指导、监督和实施工作；负责全市城乡建设综合开发、配套建设市场的管理监督工作；参与拟订全市房地产业发展的规范性文件和发展规划。</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九）承担建筑工程质量安全监管的责任；组织拟订全市建筑工程质量、建筑安全生产和竣工验收备案的政策、制度并组织监督执行；组织或参与工程重大质量、安全事故的调查处理；负责全市建设工程合同管理工作；负责全市建设机械产品的检测和管理。</w:t>
      </w:r>
    </w:p>
    <w:p>
      <w:pPr>
        <w:widowControl/>
        <w:spacing w:before="100" w:beforeAutospacing="1" w:after="100" w:afterAutospacing="1" w:line="580" w:lineRule="exact"/>
        <w:ind w:firstLine="579" w:firstLineChars="181"/>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（十）负责编制全市工程建设规划和年度计划；参与大型项目可行性研究等工程建设前期工作；会同有关部门研究全市年度重点工程项目计划及市区各类城建项目的前期论证、工程设计审</w:t>
      </w:r>
      <w:r>
        <w:rPr>
          <w:rFonts w:hint="eastAsia" w:ascii="仿宋_GB2312" w:hAnsi="宋体" w:eastAsia="仿宋_GB2312" w:cs="宋体"/>
          <w:kern w:val="0"/>
          <w:sz w:val="32"/>
          <w:szCs w:val="32"/>
          <w:lang w:eastAsia="zh-CN"/>
        </w:rPr>
        <w:t>查</w:t>
      </w:r>
      <w:r>
        <w:rPr>
          <w:rFonts w:hint="eastAsia" w:ascii="仿宋_GB2312" w:hAnsi="宋体" w:eastAsia="仿宋_GB2312" w:cs="宋体"/>
          <w:kern w:val="0"/>
          <w:sz w:val="32"/>
          <w:szCs w:val="32"/>
        </w:rPr>
        <w:t>、工程施工管理、竣工验收管理和基本建设程序管理。</w:t>
      </w:r>
    </w:p>
    <w:p>
      <w:pPr>
        <w:widowControl/>
        <w:spacing w:before="100" w:beforeAutospacing="1" w:after="100" w:afterAutospacing="1" w:line="580" w:lineRule="exact"/>
        <w:ind w:firstLine="736" w:firstLineChars="230"/>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十一)负责全市建设系统科技教育工作;负责全市建设行业新技术、新工艺、新材料、新产品的开发、认定、推广和应用工作;负责新建建筑节能改造工作;负责全市建筑工业产品登记备案工作;指导全市建设行业对外经济技术合作与交流。</w:t>
      </w:r>
    </w:p>
    <w:p>
      <w:pPr>
        <w:widowControl/>
        <w:spacing w:before="100" w:beforeAutospacing="1" w:after="100" w:afterAutospacing="1" w:line="580" w:lineRule="exact"/>
        <w:ind w:firstLine="736" w:firstLineChars="230"/>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(十二)负责拟</w:t>
      </w:r>
      <w:r>
        <w:rPr>
          <w:rFonts w:hint="eastAsia" w:ascii="仿宋_GB2312" w:hAnsi="宋体" w:eastAsia="仿宋_GB2312" w:cs="宋体"/>
          <w:kern w:val="0"/>
          <w:sz w:val="32"/>
          <w:szCs w:val="32"/>
          <w:lang w:eastAsia="zh-CN"/>
        </w:rPr>
        <w:t>订全市</w:t>
      </w:r>
      <w:r>
        <w:rPr>
          <w:rFonts w:hint="eastAsia" w:ascii="仿宋_GB2312" w:hAnsi="宋体" w:eastAsia="仿宋_GB2312" w:cs="宋体"/>
          <w:kern w:val="0"/>
          <w:sz w:val="32"/>
          <w:szCs w:val="32"/>
        </w:rPr>
        <w:t>数字化城市管理的规章制度、技术标准、运行规范和监督评价机制；负责数字化城市管理电子系统的建设和维护；负责12319投诉热线的运行和受理。</w:t>
      </w:r>
    </w:p>
    <w:p>
      <w:pPr>
        <w:widowControl/>
        <w:spacing w:before="100" w:beforeAutospacing="1" w:after="100" w:afterAutospacing="1" w:line="580" w:lineRule="exact"/>
        <w:ind w:firstLine="736" w:firstLineChars="230"/>
        <w:jc w:val="left"/>
        <w:outlineLvl w:val="3"/>
        <w:rPr>
          <w:rFonts w:ascii="仿宋_GB2312" w:hAnsi="宋体" w:eastAsia="仿宋_GB2312" w:cs="宋体"/>
          <w:kern w:val="0"/>
          <w:sz w:val="32"/>
          <w:szCs w:val="32"/>
        </w:rPr>
      </w:pPr>
      <w:r>
        <w:rPr>
          <w:rFonts w:hint="eastAsia" w:ascii="仿宋_GB2312" w:hAnsi="宋体" w:eastAsia="仿宋_GB2312" w:cs="宋体"/>
          <w:kern w:val="0"/>
          <w:sz w:val="32"/>
          <w:szCs w:val="32"/>
        </w:rPr>
        <w:t>(十三)承办市委、市政府交办的其他事项。</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二、部门预算单位构成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年部门预算包括：委机关预算、委属事业单位预算。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纳入临沂市住房和城乡建设委员会201</w:t>
      </w:r>
      <w:r>
        <w:rPr>
          <w:rFonts w:hint="eastAsia" w:ascii="仿宋_GB2312" w:eastAsia="仿宋_GB2312"/>
          <w:sz w:val="32"/>
          <w:szCs w:val="32"/>
          <w:lang w:val="en-US" w:eastAsia="zh-CN"/>
        </w:rPr>
        <w:t>4</w:t>
      </w:r>
      <w:r>
        <w:rPr>
          <w:rFonts w:hint="eastAsia" w:ascii="仿宋_GB2312" w:eastAsia="仿宋_GB2312"/>
          <w:sz w:val="32"/>
          <w:szCs w:val="32"/>
        </w:rPr>
        <w:t>年部门预算编制范围的单位详细情况见下表：</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4394"/>
        <w:gridCol w:w="26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26" w:type="dxa"/>
            <w:vAlign w:val="top"/>
          </w:tcPr>
          <w:p>
            <w:pPr>
              <w:jc w:val="center"/>
              <w:rPr>
                <w:rFonts w:ascii="仿宋_GB2312" w:eastAsia="仿宋_GB2312"/>
                <w:sz w:val="32"/>
                <w:szCs w:val="32"/>
              </w:rPr>
            </w:pPr>
            <w:r>
              <w:rPr>
                <w:rFonts w:hint="eastAsia" w:ascii="仿宋_GB2312" w:eastAsia="仿宋_GB2312"/>
                <w:sz w:val="32"/>
                <w:szCs w:val="32"/>
              </w:rPr>
              <w:t>序号</w:t>
            </w:r>
          </w:p>
        </w:tc>
        <w:tc>
          <w:tcPr>
            <w:tcW w:w="4394" w:type="dxa"/>
            <w:vAlign w:val="top"/>
          </w:tcPr>
          <w:p>
            <w:pPr>
              <w:jc w:val="center"/>
              <w:rPr>
                <w:rFonts w:ascii="仿宋_GB2312" w:eastAsia="仿宋_GB2312"/>
                <w:sz w:val="32"/>
                <w:szCs w:val="32"/>
              </w:rPr>
            </w:pPr>
            <w:r>
              <w:rPr>
                <w:rFonts w:hint="eastAsia" w:ascii="仿宋_GB2312" w:eastAsia="仿宋_GB2312"/>
                <w:sz w:val="32"/>
                <w:szCs w:val="32"/>
              </w:rPr>
              <w:t>单位名称</w:t>
            </w:r>
          </w:p>
        </w:tc>
        <w:tc>
          <w:tcPr>
            <w:tcW w:w="2602" w:type="dxa"/>
            <w:vAlign w:val="top"/>
          </w:tcPr>
          <w:p>
            <w:pPr>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26" w:type="dxa"/>
            <w:vAlign w:val="top"/>
          </w:tcPr>
          <w:p>
            <w:pPr>
              <w:jc w:val="center"/>
              <w:rPr>
                <w:rFonts w:ascii="仿宋_GB2312" w:eastAsia="仿宋_GB2312"/>
                <w:sz w:val="32"/>
                <w:szCs w:val="32"/>
              </w:rPr>
            </w:pPr>
            <w:r>
              <w:rPr>
                <w:rFonts w:hint="eastAsia" w:ascii="仿宋_GB2312" w:eastAsia="仿宋_GB2312"/>
                <w:sz w:val="32"/>
                <w:szCs w:val="32"/>
              </w:rPr>
              <w:t>1</w:t>
            </w:r>
          </w:p>
        </w:tc>
        <w:tc>
          <w:tcPr>
            <w:tcW w:w="4394" w:type="dxa"/>
            <w:vAlign w:val="top"/>
          </w:tcPr>
          <w:p>
            <w:pPr>
              <w:jc w:val="center"/>
              <w:rPr>
                <w:rFonts w:ascii="仿宋_GB2312" w:eastAsia="仿宋_GB2312"/>
                <w:sz w:val="32"/>
                <w:szCs w:val="32"/>
              </w:rPr>
            </w:pPr>
            <w:r>
              <w:rPr>
                <w:rFonts w:hint="eastAsia" w:ascii="仿宋_GB2312" w:eastAsia="仿宋_GB2312"/>
                <w:sz w:val="32"/>
                <w:szCs w:val="32"/>
              </w:rPr>
              <w:t>临沂市住房和城乡建设委员会</w:t>
            </w:r>
          </w:p>
        </w:tc>
        <w:tc>
          <w:tcPr>
            <w:tcW w:w="2602" w:type="dxa"/>
            <w:vAlign w:val="top"/>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26" w:type="dxa"/>
            <w:vAlign w:val="top"/>
          </w:tcPr>
          <w:p>
            <w:pPr>
              <w:jc w:val="center"/>
              <w:rPr>
                <w:rFonts w:ascii="仿宋_GB2312" w:eastAsia="仿宋_GB2312"/>
                <w:sz w:val="32"/>
                <w:szCs w:val="32"/>
              </w:rPr>
            </w:pPr>
            <w:r>
              <w:rPr>
                <w:rFonts w:hint="eastAsia" w:ascii="仿宋_GB2312" w:eastAsia="仿宋_GB2312"/>
                <w:sz w:val="32"/>
                <w:szCs w:val="32"/>
              </w:rPr>
              <w:t>2</w:t>
            </w:r>
          </w:p>
        </w:tc>
        <w:tc>
          <w:tcPr>
            <w:tcW w:w="4394" w:type="dxa"/>
            <w:vAlign w:val="top"/>
          </w:tcPr>
          <w:p>
            <w:pPr>
              <w:jc w:val="center"/>
              <w:rPr>
                <w:rFonts w:ascii="仿宋_GB2312" w:eastAsia="仿宋_GB2312"/>
                <w:sz w:val="32"/>
                <w:szCs w:val="32"/>
              </w:rPr>
            </w:pPr>
            <w:r>
              <w:rPr>
                <w:rFonts w:hint="eastAsia" w:ascii="仿宋_GB2312" w:eastAsia="仿宋_GB2312"/>
                <w:sz w:val="32"/>
                <w:szCs w:val="32"/>
              </w:rPr>
              <w:t>临沂市市政管理处</w:t>
            </w:r>
          </w:p>
        </w:tc>
        <w:tc>
          <w:tcPr>
            <w:tcW w:w="2602" w:type="dxa"/>
            <w:vAlign w:val="top"/>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26" w:type="dxa"/>
            <w:vAlign w:val="top"/>
          </w:tcPr>
          <w:p>
            <w:pPr>
              <w:jc w:val="center"/>
              <w:rPr>
                <w:rFonts w:ascii="仿宋_GB2312" w:eastAsia="仿宋_GB2312"/>
                <w:sz w:val="32"/>
                <w:szCs w:val="32"/>
              </w:rPr>
            </w:pPr>
            <w:r>
              <w:rPr>
                <w:rFonts w:hint="eastAsia" w:ascii="仿宋_GB2312" w:eastAsia="仿宋_GB2312"/>
                <w:sz w:val="32"/>
                <w:szCs w:val="32"/>
              </w:rPr>
              <w:t>3</w:t>
            </w:r>
          </w:p>
        </w:tc>
        <w:tc>
          <w:tcPr>
            <w:tcW w:w="4394" w:type="dxa"/>
            <w:vAlign w:val="top"/>
          </w:tcPr>
          <w:p>
            <w:pPr>
              <w:jc w:val="center"/>
              <w:rPr>
                <w:rFonts w:ascii="仿宋_GB2312" w:eastAsia="仿宋_GB2312"/>
                <w:sz w:val="32"/>
                <w:szCs w:val="32"/>
              </w:rPr>
            </w:pPr>
            <w:r>
              <w:rPr>
                <w:rFonts w:hint="eastAsia" w:ascii="仿宋_GB2312" w:eastAsia="仿宋_GB2312"/>
                <w:sz w:val="32"/>
                <w:szCs w:val="32"/>
              </w:rPr>
              <w:t>临沂市公用事业管理处</w:t>
            </w:r>
          </w:p>
        </w:tc>
        <w:tc>
          <w:tcPr>
            <w:tcW w:w="2602" w:type="dxa"/>
            <w:vAlign w:val="top"/>
          </w:tcPr>
          <w:p>
            <w:pPr>
              <w:jc w:val="center"/>
              <w:rPr>
                <w:rFonts w:ascii="仿宋_GB2312" w:eastAsia="仿宋_GB2312"/>
                <w:sz w:val="32"/>
                <w:szCs w:val="32"/>
              </w:rPr>
            </w:pPr>
          </w:p>
        </w:tc>
      </w:tr>
    </w:tbl>
    <w:p>
      <w:pPr>
        <w:jc w:val="both"/>
        <w:rPr>
          <w:rFonts w:hint="eastAsia" w:ascii="黑体" w:eastAsia="黑体"/>
          <w:sz w:val="44"/>
          <w:szCs w:val="44"/>
        </w:rPr>
      </w:pPr>
    </w:p>
    <w:p>
      <w:pPr>
        <w:jc w:val="center"/>
        <w:rPr>
          <w:rFonts w:ascii="黑体" w:eastAsia="黑体"/>
          <w:sz w:val="44"/>
          <w:szCs w:val="44"/>
        </w:rPr>
      </w:pPr>
      <w:r>
        <w:rPr>
          <w:rFonts w:hint="eastAsia" w:ascii="黑体" w:eastAsia="黑体"/>
          <w:sz w:val="44"/>
          <w:szCs w:val="44"/>
        </w:rPr>
        <w:t>第二部分</w:t>
      </w:r>
      <w:r>
        <w:rPr>
          <w:rFonts w:hint="eastAsia" w:ascii="黑体" w:eastAsia="黑体"/>
          <w:sz w:val="44"/>
          <w:szCs w:val="44"/>
          <w:lang w:val="en-US" w:eastAsia="zh-CN"/>
        </w:rPr>
        <w:t xml:space="preserve">  </w:t>
      </w:r>
      <w:r>
        <w:rPr>
          <w:rFonts w:hint="eastAsia" w:ascii="黑体" w:eastAsia="黑体"/>
          <w:sz w:val="44"/>
          <w:szCs w:val="44"/>
        </w:rPr>
        <w:t>201</w:t>
      </w:r>
      <w:r>
        <w:rPr>
          <w:rFonts w:hint="eastAsia" w:ascii="黑体" w:eastAsia="黑体"/>
          <w:sz w:val="44"/>
          <w:szCs w:val="44"/>
          <w:lang w:val="en-US" w:eastAsia="zh-CN"/>
        </w:rPr>
        <w:t>4</w:t>
      </w:r>
      <w:r>
        <w:rPr>
          <w:rFonts w:hint="eastAsia" w:ascii="黑体" w:eastAsia="黑体"/>
          <w:sz w:val="44"/>
          <w:szCs w:val="44"/>
        </w:rPr>
        <w:t>年部门预算表</w:t>
      </w:r>
    </w:p>
    <w:p>
      <w:pPr>
        <w:jc w:val="center"/>
        <w:rPr>
          <w:rFonts w:ascii="黑体" w:eastAsia="黑体"/>
          <w:sz w:val="32"/>
          <w:szCs w:val="32"/>
        </w:rPr>
      </w:pPr>
    </w:p>
    <w:p>
      <w:pPr>
        <w:ind w:right="480"/>
        <w:jc w:val="right"/>
        <w:rPr>
          <w:rFonts w:ascii="仿宋_GB2312" w:eastAsia="仿宋_GB2312"/>
          <w:sz w:val="32"/>
          <w:szCs w:val="32"/>
        </w:rPr>
      </w:pPr>
      <w:r>
        <w:rPr>
          <w:rFonts w:hint="eastAsia" w:ascii="仿宋_GB2312" w:eastAsia="仿宋_GB2312"/>
          <w:b/>
          <w:bCs/>
          <w:sz w:val="32"/>
          <w:szCs w:val="32"/>
        </w:rPr>
        <w:t>表1.201</w:t>
      </w:r>
      <w:r>
        <w:rPr>
          <w:rFonts w:hint="eastAsia" w:ascii="仿宋_GB2312" w:eastAsia="仿宋_GB2312"/>
          <w:b/>
          <w:bCs/>
          <w:sz w:val="32"/>
          <w:szCs w:val="32"/>
          <w:lang w:val="en-US" w:eastAsia="zh-CN"/>
        </w:rPr>
        <w:t>4</w:t>
      </w:r>
      <w:r>
        <w:rPr>
          <w:rFonts w:hint="eastAsia" w:ascii="仿宋_GB2312" w:eastAsia="仿宋_GB2312"/>
          <w:b/>
          <w:bCs/>
          <w:sz w:val="32"/>
          <w:szCs w:val="32"/>
        </w:rPr>
        <w:t xml:space="preserve">年临沂市住房和城乡建设委员会部门收支预算表  </w:t>
      </w:r>
      <w:r>
        <w:rPr>
          <w:rFonts w:hint="eastAsia" w:ascii="仿宋_GB2312" w:eastAsia="仿宋_GB2312"/>
          <w:sz w:val="32"/>
          <w:szCs w:val="32"/>
        </w:rPr>
        <w:t xml:space="preserve">                                                                     单位：万元</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1884"/>
        <w:gridCol w:w="2227"/>
        <w:gridCol w:w="20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top"/>
          </w:tcPr>
          <w:p>
            <w:pPr>
              <w:jc w:val="center"/>
              <w:rPr>
                <w:rFonts w:ascii="仿宋_GB2312" w:eastAsia="仿宋_GB2312"/>
                <w:sz w:val="32"/>
                <w:szCs w:val="32"/>
              </w:rPr>
            </w:pPr>
            <w:r>
              <w:rPr>
                <w:rFonts w:hint="eastAsia" w:ascii="仿宋_GB2312" w:eastAsia="仿宋_GB2312"/>
                <w:sz w:val="32"/>
                <w:szCs w:val="32"/>
              </w:rPr>
              <w:t>收入</w:t>
            </w:r>
          </w:p>
        </w:tc>
        <w:tc>
          <w:tcPr>
            <w:tcW w:w="1884" w:type="dxa"/>
            <w:vAlign w:val="top"/>
          </w:tcPr>
          <w:p>
            <w:pPr>
              <w:jc w:val="center"/>
              <w:rPr>
                <w:rFonts w:ascii="仿宋_GB2312" w:eastAsia="仿宋_GB2312"/>
                <w:sz w:val="32"/>
                <w:szCs w:val="32"/>
              </w:rPr>
            </w:pPr>
          </w:p>
        </w:tc>
        <w:tc>
          <w:tcPr>
            <w:tcW w:w="2227" w:type="dxa"/>
            <w:vAlign w:val="top"/>
          </w:tcPr>
          <w:p>
            <w:pPr>
              <w:jc w:val="center"/>
              <w:rPr>
                <w:rFonts w:ascii="仿宋_GB2312" w:eastAsia="仿宋_GB2312"/>
                <w:sz w:val="32"/>
                <w:szCs w:val="32"/>
              </w:rPr>
            </w:pPr>
            <w:r>
              <w:rPr>
                <w:rFonts w:hint="eastAsia" w:ascii="仿宋_GB2312" w:eastAsia="仿宋_GB2312"/>
                <w:sz w:val="32"/>
                <w:szCs w:val="32"/>
              </w:rPr>
              <w:t>支出</w:t>
            </w:r>
          </w:p>
        </w:tc>
        <w:tc>
          <w:tcPr>
            <w:tcW w:w="2035" w:type="dxa"/>
            <w:vAlign w:val="top"/>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top"/>
          </w:tcPr>
          <w:p>
            <w:pPr>
              <w:jc w:val="center"/>
              <w:rPr>
                <w:rFonts w:ascii="仿宋_GB2312" w:eastAsia="仿宋_GB2312"/>
                <w:sz w:val="32"/>
                <w:szCs w:val="32"/>
              </w:rPr>
            </w:pPr>
            <w:r>
              <w:rPr>
                <w:rFonts w:hint="eastAsia" w:ascii="仿宋_GB2312" w:eastAsia="仿宋_GB2312"/>
                <w:sz w:val="32"/>
                <w:szCs w:val="32"/>
              </w:rPr>
              <w:t>项目</w:t>
            </w:r>
          </w:p>
        </w:tc>
        <w:tc>
          <w:tcPr>
            <w:tcW w:w="1884" w:type="dxa"/>
            <w:vAlign w:val="top"/>
          </w:tcPr>
          <w:p>
            <w:pPr>
              <w:jc w:val="center"/>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年预算</w:t>
            </w:r>
          </w:p>
        </w:tc>
        <w:tc>
          <w:tcPr>
            <w:tcW w:w="2227" w:type="dxa"/>
            <w:vAlign w:val="top"/>
          </w:tcPr>
          <w:p>
            <w:pPr>
              <w:jc w:val="center"/>
              <w:rPr>
                <w:rFonts w:ascii="仿宋_GB2312" w:eastAsia="仿宋_GB2312"/>
                <w:sz w:val="32"/>
                <w:szCs w:val="32"/>
              </w:rPr>
            </w:pPr>
            <w:r>
              <w:rPr>
                <w:rFonts w:hint="eastAsia" w:ascii="仿宋_GB2312" w:eastAsia="仿宋_GB2312"/>
                <w:sz w:val="32"/>
                <w:szCs w:val="32"/>
              </w:rPr>
              <w:t>项目</w:t>
            </w:r>
          </w:p>
        </w:tc>
        <w:tc>
          <w:tcPr>
            <w:tcW w:w="2035" w:type="dxa"/>
            <w:vAlign w:val="top"/>
          </w:tcPr>
          <w:p>
            <w:pPr>
              <w:jc w:val="center"/>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2376" w:type="dxa"/>
            <w:vAlign w:val="center"/>
          </w:tcPr>
          <w:p>
            <w:pPr>
              <w:jc w:val="left"/>
              <w:rPr>
                <w:rFonts w:ascii="仿宋_GB2312" w:eastAsia="仿宋_GB2312"/>
                <w:szCs w:val="21"/>
              </w:rPr>
            </w:pPr>
            <w:r>
              <w:rPr>
                <w:rFonts w:hint="eastAsia" w:ascii="仿宋_GB2312" w:eastAsia="仿宋_GB2312"/>
                <w:sz w:val="24"/>
                <w:szCs w:val="24"/>
              </w:rPr>
              <w:t>一、财政拨款（补助）</w:t>
            </w:r>
          </w:p>
        </w:tc>
        <w:tc>
          <w:tcPr>
            <w:tcW w:w="1884" w:type="dxa"/>
            <w:vAlign w:val="center"/>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1409.76</w:t>
            </w:r>
          </w:p>
        </w:tc>
        <w:tc>
          <w:tcPr>
            <w:tcW w:w="2227" w:type="dxa"/>
            <w:vAlign w:val="center"/>
          </w:tcPr>
          <w:p>
            <w:pPr>
              <w:jc w:val="left"/>
              <w:rPr>
                <w:rFonts w:ascii="仿宋_GB2312" w:eastAsia="仿宋_GB2312"/>
                <w:sz w:val="24"/>
                <w:szCs w:val="24"/>
              </w:rPr>
            </w:pPr>
            <w:r>
              <w:rPr>
                <w:rFonts w:hint="eastAsia" w:ascii="仿宋_GB2312" w:eastAsia="仿宋_GB2312"/>
                <w:sz w:val="24"/>
                <w:szCs w:val="24"/>
              </w:rPr>
              <w:t>归口管理的行政单位离退休</w:t>
            </w:r>
          </w:p>
        </w:tc>
        <w:tc>
          <w:tcPr>
            <w:tcW w:w="2035"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221.45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rPr>
              <w:t>二、财政专户核拨资金</w:t>
            </w:r>
          </w:p>
        </w:tc>
        <w:tc>
          <w:tcPr>
            <w:tcW w:w="1884" w:type="dxa"/>
            <w:vAlign w:val="center"/>
          </w:tcPr>
          <w:p>
            <w:pPr>
              <w:jc w:val="center"/>
              <w:rPr>
                <w:rFonts w:ascii="仿宋_GB2312" w:eastAsia="仿宋_GB2312"/>
                <w:sz w:val="32"/>
                <w:szCs w:val="32"/>
              </w:rPr>
            </w:pPr>
          </w:p>
        </w:tc>
        <w:tc>
          <w:tcPr>
            <w:tcW w:w="2227" w:type="dxa"/>
            <w:vAlign w:val="center"/>
          </w:tcPr>
          <w:p>
            <w:pPr>
              <w:jc w:val="left"/>
              <w:rPr>
                <w:rFonts w:ascii="仿宋_GB2312" w:eastAsia="仿宋_GB2312"/>
                <w:sz w:val="24"/>
                <w:szCs w:val="24"/>
              </w:rPr>
            </w:pPr>
            <w:r>
              <w:rPr>
                <w:rFonts w:hint="eastAsia" w:ascii="仿宋_GB2312" w:eastAsia="仿宋_GB2312"/>
                <w:sz w:val="24"/>
                <w:szCs w:val="24"/>
              </w:rPr>
              <w:t>事业单位离退休</w:t>
            </w:r>
          </w:p>
        </w:tc>
        <w:tc>
          <w:tcPr>
            <w:tcW w:w="2035" w:type="dxa"/>
            <w:vAlign w:val="center"/>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66.53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textDirection w:val="lrTb"/>
            <w:vAlign w:val="center"/>
          </w:tcPr>
          <w:p>
            <w:pPr>
              <w:jc w:val="left"/>
              <w:rPr>
                <w:rFonts w:hint="eastAsia" w:ascii="仿宋_GB2312" w:eastAsia="仿宋_GB2312"/>
                <w:sz w:val="24"/>
                <w:szCs w:val="24"/>
              </w:rPr>
            </w:pPr>
            <w:r>
              <w:rPr>
                <w:rFonts w:hint="eastAsia" w:ascii="仿宋_GB2312" w:eastAsia="仿宋_GB2312"/>
                <w:sz w:val="24"/>
                <w:szCs w:val="24"/>
              </w:rPr>
              <w:t>三、纳入预算管理的政府性基金</w:t>
            </w:r>
          </w:p>
        </w:tc>
        <w:tc>
          <w:tcPr>
            <w:tcW w:w="1884" w:type="dxa"/>
            <w:textDirection w:val="lrTb"/>
            <w:vAlign w:val="center"/>
          </w:tcPr>
          <w:p>
            <w:pPr>
              <w:jc w:val="center"/>
              <w:rPr>
                <w:rFonts w:hint="eastAsia" w:ascii="仿宋_GB2312" w:eastAsia="仿宋_GB2312"/>
                <w:sz w:val="32"/>
                <w:szCs w:val="32"/>
              </w:rPr>
            </w:pPr>
          </w:p>
        </w:tc>
        <w:tc>
          <w:tcPr>
            <w:tcW w:w="2227" w:type="dxa"/>
            <w:vAlign w:val="center"/>
          </w:tcPr>
          <w:p>
            <w:pPr>
              <w:jc w:val="left"/>
              <w:rPr>
                <w:rFonts w:hint="eastAsia" w:ascii="仿宋_GB2312" w:eastAsia="仿宋_GB2312"/>
                <w:sz w:val="24"/>
                <w:szCs w:val="24"/>
              </w:rPr>
            </w:pPr>
            <w:r>
              <w:rPr>
                <w:rFonts w:hint="eastAsia" w:ascii="仿宋_GB2312" w:eastAsia="仿宋_GB2312"/>
                <w:sz w:val="24"/>
                <w:szCs w:val="24"/>
              </w:rPr>
              <w:t>行政运行</w:t>
            </w:r>
          </w:p>
        </w:tc>
        <w:tc>
          <w:tcPr>
            <w:tcW w:w="2035"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1104.38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textDirection w:val="lrTb"/>
            <w:vAlign w:val="center"/>
          </w:tcPr>
          <w:p>
            <w:pPr>
              <w:jc w:val="left"/>
              <w:rPr>
                <w:rFonts w:ascii="仿宋_GB2312" w:eastAsia="仿宋_GB2312"/>
                <w:sz w:val="24"/>
                <w:szCs w:val="24"/>
              </w:rPr>
            </w:pPr>
            <w:r>
              <w:rPr>
                <w:rFonts w:hint="eastAsia" w:ascii="仿宋_GB2312" w:eastAsia="仿宋_GB2312"/>
                <w:sz w:val="24"/>
                <w:szCs w:val="24"/>
              </w:rPr>
              <w:t>四、其他收入</w:t>
            </w:r>
          </w:p>
        </w:tc>
        <w:tc>
          <w:tcPr>
            <w:tcW w:w="1884" w:type="dxa"/>
            <w:textDirection w:val="lrTb"/>
            <w:vAlign w:val="center"/>
          </w:tcPr>
          <w:p>
            <w:pPr>
              <w:jc w:val="center"/>
              <w:rPr>
                <w:rFonts w:ascii="仿宋_GB2312" w:eastAsia="仿宋_GB2312"/>
                <w:sz w:val="32"/>
                <w:szCs w:val="32"/>
              </w:rPr>
            </w:pPr>
          </w:p>
        </w:tc>
        <w:tc>
          <w:tcPr>
            <w:tcW w:w="2227" w:type="dxa"/>
            <w:vAlign w:val="center"/>
          </w:tcPr>
          <w:p>
            <w:pPr>
              <w:jc w:val="left"/>
              <w:rPr>
                <w:rFonts w:hint="eastAsia" w:ascii="仿宋_GB2312" w:eastAsia="仿宋_GB2312"/>
                <w:sz w:val="24"/>
                <w:szCs w:val="24"/>
                <w:lang w:eastAsia="zh-CN"/>
              </w:rPr>
            </w:pPr>
            <w:r>
              <w:rPr>
                <w:rFonts w:hint="eastAsia" w:ascii="仿宋_GB2312" w:eastAsia="仿宋_GB2312"/>
                <w:sz w:val="24"/>
                <w:szCs w:val="24"/>
                <w:lang w:eastAsia="zh-CN"/>
              </w:rPr>
              <w:t>一般行政管理事务</w:t>
            </w:r>
          </w:p>
        </w:tc>
        <w:tc>
          <w:tcPr>
            <w:tcW w:w="2035"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p>
        </w:tc>
        <w:tc>
          <w:tcPr>
            <w:tcW w:w="1884" w:type="dxa"/>
            <w:vAlign w:val="center"/>
          </w:tcPr>
          <w:p>
            <w:pPr>
              <w:jc w:val="center"/>
              <w:rPr>
                <w:rFonts w:ascii="仿宋_GB2312" w:eastAsia="仿宋_GB2312"/>
                <w:sz w:val="24"/>
                <w:szCs w:val="24"/>
              </w:rPr>
            </w:pPr>
          </w:p>
        </w:tc>
        <w:tc>
          <w:tcPr>
            <w:tcW w:w="2227" w:type="dxa"/>
            <w:textDirection w:val="lrTb"/>
            <w:vAlign w:val="center"/>
          </w:tcPr>
          <w:p>
            <w:pPr>
              <w:jc w:val="left"/>
              <w:rPr>
                <w:rFonts w:ascii="仿宋_GB2312" w:eastAsia="仿宋_GB2312"/>
                <w:sz w:val="24"/>
                <w:szCs w:val="24"/>
              </w:rPr>
            </w:pPr>
            <w:r>
              <w:rPr>
                <w:rFonts w:hint="eastAsia" w:ascii="仿宋_GB2312" w:eastAsia="仿宋_GB2312"/>
                <w:sz w:val="24"/>
                <w:szCs w:val="24"/>
              </w:rPr>
              <w:t>其他城乡社区管理事务支出</w:t>
            </w:r>
          </w:p>
        </w:tc>
        <w:tc>
          <w:tcPr>
            <w:tcW w:w="2035" w:type="dxa"/>
            <w:textDirection w:val="lrTb"/>
            <w:vAlign w:val="center"/>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p>
        </w:tc>
        <w:tc>
          <w:tcPr>
            <w:tcW w:w="1884" w:type="dxa"/>
            <w:vAlign w:val="center"/>
          </w:tcPr>
          <w:p>
            <w:pPr>
              <w:jc w:val="center"/>
              <w:rPr>
                <w:rFonts w:ascii="仿宋_GB2312" w:eastAsia="仿宋_GB2312"/>
                <w:sz w:val="24"/>
                <w:szCs w:val="24"/>
              </w:rPr>
            </w:pPr>
          </w:p>
        </w:tc>
        <w:tc>
          <w:tcPr>
            <w:tcW w:w="2227" w:type="dxa"/>
            <w:textDirection w:val="lrTb"/>
            <w:vAlign w:val="center"/>
          </w:tcPr>
          <w:p>
            <w:pPr>
              <w:jc w:val="left"/>
              <w:rPr>
                <w:rFonts w:ascii="仿宋_GB2312" w:eastAsia="仿宋_GB2312"/>
                <w:sz w:val="24"/>
                <w:szCs w:val="24"/>
              </w:rPr>
            </w:pPr>
            <w:r>
              <w:rPr>
                <w:rFonts w:hint="eastAsia" w:ascii="仿宋_GB2312" w:eastAsia="仿宋_GB2312"/>
                <w:sz w:val="24"/>
                <w:szCs w:val="24"/>
              </w:rPr>
              <w:t>城乡社区规划与管理</w:t>
            </w:r>
          </w:p>
        </w:tc>
        <w:tc>
          <w:tcPr>
            <w:tcW w:w="2035" w:type="dxa"/>
            <w:textDirection w:val="lrTb"/>
            <w:vAlign w:val="center"/>
          </w:tcPr>
          <w:p>
            <w:pPr>
              <w:jc w:val="center"/>
              <w:rPr>
                <w:rFonts w:hint="eastAsia" w:ascii="仿宋_GB2312" w:eastAsia="仿宋_GB2312"/>
                <w:sz w:val="32"/>
                <w:szCs w:val="32"/>
                <w:lang w:eastAsia="zh-CN"/>
              </w:rPr>
            </w:pPr>
            <w:r>
              <w:rPr>
                <w:rFonts w:hint="eastAsia" w:ascii="仿宋_GB2312" w:eastAsia="仿宋_GB2312"/>
                <w:sz w:val="32"/>
                <w:szCs w:val="3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p>
        </w:tc>
        <w:tc>
          <w:tcPr>
            <w:tcW w:w="1884" w:type="dxa"/>
            <w:vAlign w:val="center"/>
          </w:tcPr>
          <w:p>
            <w:pPr>
              <w:jc w:val="center"/>
              <w:rPr>
                <w:rFonts w:ascii="仿宋_GB2312" w:eastAsia="仿宋_GB2312"/>
                <w:sz w:val="24"/>
                <w:szCs w:val="24"/>
              </w:rPr>
            </w:pPr>
          </w:p>
        </w:tc>
        <w:tc>
          <w:tcPr>
            <w:tcW w:w="2227" w:type="dxa"/>
            <w:textDirection w:val="lrTb"/>
            <w:vAlign w:val="center"/>
          </w:tcPr>
          <w:p>
            <w:pPr>
              <w:jc w:val="left"/>
              <w:rPr>
                <w:rFonts w:hint="eastAsia" w:ascii="仿宋_GB2312" w:eastAsia="仿宋_GB2312"/>
                <w:sz w:val="24"/>
                <w:szCs w:val="24"/>
                <w:lang w:eastAsia="zh-CN"/>
              </w:rPr>
            </w:pPr>
            <w:r>
              <w:rPr>
                <w:rFonts w:hint="eastAsia" w:ascii="仿宋_GB2312" w:eastAsia="仿宋_GB2312"/>
                <w:sz w:val="24"/>
                <w:szCs w:val="24"/>
                <w:lang w:eastAsia="zh-CN"/>
              </w:rPr>
              <w:t>其他城市基础设施配套费安排的支出</w:t>
            </w:r>
          </w:p>
        </w:tc>
        <w:tc>
          <w:tcPr>
            <w:tcW w:w="2035" w:type="dxa"/>
            <w:textDirection w:val="lrTb"/>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rPr>
              <w:t>本年收入合计</w:t>
            </w:r>
          </w:p>
        </w:tc>
        <w:tc>
          <w:tcPr>
            <w:tcW w:w="1884" w:type="dxa"/>
            <w:vAlign w:val="center"/>
          </w:tcPr>
          <w:p>
            <w:pPr>
              <w:jc w:val="center"/>
              <w:rPr>
                <w:rFonts w:ascii="仿宋_GB2312" w:eastAsia="仿宋_GB2312"/>
                <w:sz w:val="32"/>
                <w:szCs w:val="32"/>
              </w:rPr>
            </w:pPr>
            <w:r>
              <w:rPr>
                <w:rFonts w:hint="eastAsia" w:ascii="仿宋_GB2312" w:eastAsia="仿宋_GB2312"/>
                <w:sz w:val="32"/>
                <w:szCs w:val="32"/>
              </w:rPr>
              <w:t>140</w:t>
            </w:r>
            <w:r>
              <w:rPr>
                <w:rFonts w:hint="eastAsia" w:ascii="仿宋_GB2312" w:eastAsia="仿宋_GB2312"/>
                <w:sz w:val="32"/>
                <w:szCs w:val="32"/>
                <w:lang w:val="en-US" w:eastAsia="zh-CN"/>
              </w:rPr>
              <w:t>9.76</w:t>
            </w:r>
          </w:p>
        </w:tc>
        <w:tc>
          <w:tcPr>
            <w:tcW w:w="2227" w:type="dxa"/>
            <w:vAlign w:val="center"/>
          </w:tcPr>
          <w:p>
            <w:pPr>
              <w:jc w:val="left"/>
              <w:rPr>
                <w:rFonts w:ascii="仿宋_GB2312" w:eastAsia="仿宋_GB2312"/>
                <w:sz w:val="24"/>
                <w:szCs w:val="24"/>
              </w:rPr>
            </w:pPr>
            <w:r>
              <w:rPr>
                <w:rFonts w:hint="eastAsia" w:ascii="仿宋_GB2312" w:eastAsia="仿宋_GB2312"/>
                <w:sz w:val="24"/>
                <w:szCs w:val="24"/>
              </w:rPr>
              <w:t>本年支出合计</w:t>
            </w:r>
          </w:p>
        </w:tc>
        <w:tc>
          <w:tcPr>
            <w:tcW w:w="2035"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1509.76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rPr>
              <w:t>上级补助收入</w:t>
            </w:r>
          </w:p>
        </w:tc>
        <w:tc>
          <w:tcPr>
            <w:tcW w:w="1884" w:type="dxa"/>
            <w:vAlign w:val="center"/>
          </w:tcPr>
          <w:p>
            <w:pPr>
              <w:jc w:val="center"/>
              <w:rPr>
                <w:rFonts w:ascii="仿宋_GB2312" w:eastAsia="仿宋_GB2312"/>
                <w:sz w:val="32"/>
                <w:szCs w:val="32"/>
              </w:rPr>
            </w:pPr>
          </w:p>
        </w:tc>
        <w:tc>
          <w:tcPr>
            <w:tcW w:w="2227" w:type="dxa"/>
            <w:vAlign w:val="center"/>
          </w:tcPr>
          <w:p>
            <w:pPr>
              <w:jc w:val="left"/>
              <w:rPr>
                <w:rFonts w:ascii="仿宋_GB2312" w:eastAsia="仿宋_GB2312"/>
                <w:sz w:val="24"/>
                <w:szCs w:val="24"/>
              </w:rPr>
            </w:pPr>
            <w:r>
              <w:rPr>
                <w:rFonts w:hint="eastAsia" w:ascii="仿宋_GB2312" w:eastAsia="仿宋_GB2312"/>
                <w:sz w:val="24"/>
                <w:szCs w:val="24"/>
              </w:rPr>
              <w:t>上缴上级支出</w:t>
            </w: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rPr>
              <w:t>上年结转、结余</w:t>
            </w:r>
          </w:p>
        </w:tc>
        <w:tc>
          <w:tcPr>
            <w:tcW w:w="1884"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100</w:t>
            </w:r>
          </w:p>
        </w:tc>
        <w:tc>
          <w:tcPr>
            <w:tcW w:w="2227" w:type="dxa"/>
            <w:vAlign w:val="center"/>
          </w:tcPr>
          <w:p>
            <w:pPr>
              <w:jc w:val="left"/>
              <w:rPr>
                <w:rFonts w:ascii="仿宋_GB2312" w:eastAsia="仿宋_GB2312"/>
                <w:sz w:val="24"/>
                <w:szCs w:val="24"/>
              </w:rPr>
            </w:pPr>
            <w:r>
              <w:rPr>
                <w:rFonts w:hint="eastAsia" w:ascii="仿宋_GB2312" w:eastAsia="仿宋_GB2312"/>
                <w:sz w:val="24"/>
                <w:szCs w:val="24"/>
              </w:rPr>
              <w:t>结转下年</w:t>
            </w: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lang w:val="en-US" w:eastAsia="zh-CN"/>
              </w:rPr>
              <w:t xml:space="preserve">    </w:t>
            </w:r>
            <w:r>
              <w:rPr>
                <w:rFonts w:hint="eastAsia" w:ascii="仿宋_GB2312" w:eastAsia="仿宋_GB2312"/>
                <w:sz w:val="24"/>
                <w:szCs w:val="24"/>
              </w:rPr>
              <w:t>其中：专项结转</w:t>
            </w:r>
          </w:p>
        </w:tc>
        <w:tc>
          <w:tcPr>
            <w:tcW w:w="1884" w:type="dxa"/>
            <w:vAlign w:val="center"/>
          </w:tcPr>
          <w:p>
            <w:pPr>
              <w:jc w:val="center"/>
              <w:rPr>
                <w:rFonts w:ascii="仿宋_GB2312" w:eastAsia="仿宋_GB2312"/>
                <w:sz w:val="32"/>
                <w:szCs w:val="32"/>
              </w:rPr>
            </w:pPr>
          </w:p>
        </w:tc>
        <w:tc>
          <w:tcPr>
            <w:tcW w:w="2227" w:type="dxa"/>
            <w:vAlign w:val="center"/>
          </w:tcPr>
          <w:p>
            <w:pPr>
              <w:jc w:val="left"/>
              <w:rPr>
                <w:rFonts w:ascii="仿宋_GB2312" w:eastAsia="仿宋_GB2312"/>
                <w:sz w:val="24"/>
                <w:szCs w:val="24"/>
              </w:rPr>
            </w:pP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lang w:val="en-US" w:eastAsia="zh-CN"/>
              </w:rPr>
              <w:t xml:space="preserve">    </w:t>
            </w:r>
            <w:r>
              <w:rPr>
                <w:rFonts w:hint="eastAsia" w:ascii="仿宋_GB2312" w:eastAsia="仿宋_GB2312"/>
                <w:sz w:val="24"/>
                <w:szCs w:val="24"/>
              </w:rPr>
              <w:t>政府性基金结转</w:t>
            </w:r>
          </w:p>
        </w:tc>
        <w:tc>
          <w:tcPr>
            <w:tcW w:w="1884" w:type="dxa"/>
            <w:vAlign w:val="center"/>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100</w:t>
            </w:r>
          </w:p>
        </w:tc>
        <w:tc>
          <w:tcPr>
            <w:tcW w:w="2227" w:type="dxa"/>
            <w:vAlign w:val="center"/>
          </w:tcPr>
          <w:p>
            <w:pPr>
              <w:jc w:val="left"/>
              <w:rPr>
                <w:rFonts w:ascii="仿宋_GB2312" w:eastAsia="仿宋_GB2312"/>
                <w:sz w:val="24"/>
                <w:szCs w:val="24"/>
              </w:rPr>
            </w:pP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r>
              <w:rPr>
                <w:rFonts w:hint="eastAsia" w:ascii="仿宋_GB2312" w:eastAsia="仿宋_GB2312"/>
                <w:sz w:val="24"/>
                <w:szCs w:val="24"/>
                <w:lang w:val="en-US" w:eastAsia="zh-CN"/>
              </w:rPr>
              <w:t xml:space="preserve">    </w:t>
            </w:r>
            <w:r>
              <w:rPr>
                <w:rFonts w:hint="eastAsia" w:ascii="仿宋_GB2312" w:eastAsia="仿宋_GB2312"/>
                <w:sz w:val="24"/>
                <w:szCs w:val="24"/>
              </w:rPr>
              <w:t>专户结转</w:t>
            </w:r>
          </w:p>
        </w:tc>
        <w:tc>
          <w:tcPr>
            <w:tcW w:w="1884" w:type="dxa"/>
            <w:vAlign w:val="center"/>
          </w:tcPr>
          <w:p>
            <w:pPr>
              <w:jc w:val="center"/>
              <w:rPr>
                <w:rFonts w:ascii="仿宋_GB2312" w:eastAsia="仿宋_GB2312"/>
                <w:sz w:val="32"/>
                <w:szCs w:val="32"/>
              </w:rPr>
            </w:pPr>
          </w:p>
        </w:tc>
        <w:tc>
          <w:tcPr>
            <w:tcW w:w="2227" w:type="dxa"/>
            <w:vAlign w:val="center"/>
          </w:tcPr>
          <w:p>
            <w:pPr>
              <w:jc w:val="left"/>
              <w:rPr>
                <w:rFonts w:ascii="仿宋_GB2312" w:eastAsia="仿宋_GB2312"/>
                <w:sz w:val="24"/>
                <w:szCs w:val="24"/>
              </w:rPr>
            </w:pP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left"/>
              <w:rPr>
                <w:rFonts w:ascii="仿宋_GB2312" w:eastAsia="仿宋_GB2312"/>
                <w:sz w:val="24"/>
                <w:szCs w:val="24"/>
              </w:rPr>
            </w:pPr>
          </w:p>
        </w:tc>
        <w:tc>
          <w:tcPr>
            <w:tcW w:w="1884" w:type="dxa"/>
            <w:vAlign w:val="center"/>
          </w:tcPr>
          <w:p>
            <w:pPr>
              <w:jc w:val="center"/>
              <w:rPr>
                <w:rFonts w:ascii="仿宋_GB2312" w:eastAsia="仿宋_GB2312"/>
                <w:sz w:val="32"/>
                <w:szCs w:val="32"/>
              </w:rPr>
            </w:pPr>
          </w:p>
        </w:tc>
        <w:tc>
          <w:tcPr>
            <w:tcW w:w="2227" w:type="dxa"/>
            <w:vAlign w:val="center"/>
          </w:tcPr>
          <w:p>
            <w:pPr>
              <w:jc w:val="left"/>
              <w:rPr>
                <w:rFonts w:ascii="仿宋_GB2312" w:eastAsia="仿宋_GB2312"/>
                <w:sz w:val="24"/>
                <w:szCs w:val="24"/>
              </w:rPr>
            </w:pPr>
          </w:p>
        </w:tc>
        <w:tc>
          <w:tcPr>
            <w:tcW w:w="2035" w:type="dxa"/>
            <w:vAlign w:val="center"/>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376" w:type="dxa"/>
            <w:vAlign w:val="center"/>
          </w:tcPr>
          <w:p>
            <w:pPr>
              <w:jc w:val="center"/>
              <w:rPr>
                <w:rFonts w:ascii="仿宋_GB2312" w:eastAsia="仿宋_GB2312"/>
                <w:sz w:val="24"/>
                <w:szCs w:val="24"/>
              </w:rPr>
            </w:pPr>
            <w:r>
              <w:rPr>
                <w:rFonts w:hint="eastAsia" w:ascii="仿宋_GB2312" w:eastAsia="仿宋_GB2312"/>
                <w:sz w:val="24"/>
                <w:szCs w:val="24"/>
              </w:rPr>
              <w:t>收入总计</w:t>
            </w:r>
          </w:p>
        </w:tc>
        <w:tc>
          <w:tcPr>
            <w:tcW w:w="1884" w:type="dxa"/>
            <w:vAlign w:val="center"/>
          </w:tcPr>
          <w:p>
            <w:pPr>
              <w:jc w:val="center"/>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509.76</w:t>
            </w:r>
          </w:p>
        </w:tc>
        <w:tc>
          <w:tcPr>
            <w:tcW w:w="2227" w:type="dxa"/>
            <w:vAlign w:val="center"/>
          </w:tcPr>
          <w:p>
            <w:pPr>
              <w:jc w:val="center"/>
              <w:rPr>
                <w:rFonts w:ascii="仿宋_GB2312" w:eastAsia="仿宋_GB2312"/>
                <w:sz w:val="24"/>
                <w:szCs w:val="24"/>
              </w:rPr>
            </w:pPr>
            <w:r>
              <w:rPr>
                <w:rFonts w:hint="eastAsia" w:ascii="仿宋_GB2312" w:eastAsia="仿宋_GB2312"/>
                <w:sz w:val="24"/>
                <w:szCs w:val="24"/>
              </w:rPr>
              <w:t>支出总计</w:t>
            </w:r>
          </w:p>
        </w:tc>
        <w:tc>
          <w:tcPr>
            <w:tcW w:w="2035" w:type="dxa"/>
            <w:vAlign w:val="center"/>
          </w:tcPr>
          <w:p>
            <w:pPr>
              <w:jc w:val="center"/>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509.76</w:t>
            </w:r>
          </w:p>
        </w:tc>
      </w:tr>
    </w:tbl>
    <w:p>
      <w:pPr>
        <w:jc w:val="right"/>
        <w:rPr>
          <w:rFonts w:ascii="仿宋_GB2312" w:eastAsia="仿宋_GB2312"/>
          <w:sz w:val="32"/>
          <w:szCs w:val="32"/>
        </w:rPr>
      </w:pPr>
      <w:r>
        <w:rPr>
          <w:rFonts w:hint="eastAsia" w:ascii="仿宋_GB2312" w:eastAsia="仿宋_GB2312"/>
          <w:sz w:val="30"/>
          <w:szCs w:val="30"/>
        </w:rPr>
        <w:t>表2.201</w:t>
      </w:r>
      <w:r>
        <w:rPr>
          <w:rFonts w:hint="eastAsia" w:ascii="仿宋_GB2312" w:eastAsia="仿宋_GB2312"/>
          <w:sz w:val="30"/>
          <w:szCs w:val="30"/>
          <w:lang w:val="en-US" w:eastAsia="zh-CN"/>
        </w:rPr>
        <w:t>4</w:t>
      </w:r>
      <w:r>
        <w:rPr>
          <w:rFonts w:hint="eastAsia" w:ascii="仿宋_GB2312" w:eastAsia="仿宋_GB2312"/>
          <w:sz w:val="30"/>
          <w:szCs w:val="30"/>
        </w:rPr>
        <w:t xml:space="preserve">年临沂市住房和城乡建设委员会部门财政拨款支出预算表   </w:t>
      </w:r>
      <w:r>
        <w:rPr>
          <w:rFonts w:hint="eastAsia" w:ascii="仿宋_GB2312" w:eastAsia="仿宋_GB2312"/>
          <w:sz w:val="32"/>
          <w:szCs w:val="32"/>
        </w:rPr>
        <w:t xml:space="preserve">                                                               单位：万元</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701"/>
        <w:gridCol w:w="1560"/>
        <w:gridCol w:w="2314"/>
        <w:gridCol w:w="1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503" w:type="dxa"/>
            <w:gridSpan w:val="3"/>
            <w:vAlign w:val="top"/>
          </w:tcPr>
          <w:p>
            <w:pPr>
              <w:jc w:val="center"/>
              <w:rPr>
                <w:rFonts w:ascii="仿宋_GB2312" w:eastAsia="仿宋_GB2312"/>
                <w:sz w:val="32"/>
                <w:szCs w:val="32"/>
              </w:rPr>
            </w:pPr>
            <w:r>
              <w:rPr>
                <w:rFonts w:hint="eastAsia" w:ascii="仿宋_GB2312" w:eastAsia="仿宋_GB2312"/>
                <w:sz w:val="32"/>
                <w:szCs w:val="32"/>
              </w:rPr>
              <w:t>科目编码</w:t>
            </w:r>
          </w:p>
        </w:tc>
        <w:tc>
          <w:tcPr>
            <w:tcW w:w="2314" w:type="dxa"/>
            <w:vMerge w:val="restart"/>
            <w:vAlign w:val="top"/>
          </w:tcPr>
          <w:p>
            <w:pPr>
              <w:jc w:val="center"/>
              <w:rPr>
                <w:rFonts w:ascii="仿宋_GB2312" w:eastAsia="仿宋_GB2312"/>
                <w:sz w:val="32"/>
                <w:szCs w:val="32"/>
              </w:rPr>
            </w:pPr>
            <w:r>
              <w:rPr>
                <w:rFonts w:hint="eastAsia" w:ascii="仿宋_GB2312" w:eastAsia="仿宋_GB2312"/>
                <w:sz w:val="32"/>
                <w:szCs w:val="32"/>
              </w:rPr>
              <w:t>功能科目名称</w:t>
            </w:r>
          </w:p>
        </w:tc>
        <w:tc>
          <w:tcPr>
            <w:tcW w:w="1705" w:type="dxa"/>
            <w:vMerge w:val="restart"/>
            <w:vAlign w:val="top"/>
          </w:tcPr>
          <w:p>
            <w:pPr>
              <w:jc w:val="center"/>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类</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款</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项</w:t>
            </w:r>
          </w:p>
        </w:tc>
        <w:tc>
          <w:tcPr>
            <w:tcW w:w="2314" w:type="dxa"/>
            <w:vMerge w:val="continue"/>
            <w:vAlign w:val="top"/>
          </w:tcPr>
          <w:p>
            <w:pPr>
              <w:jc w:val="center"/>
              <w:rPr>
                <w:rFonts w:ascii="仿宋_GB2312" w:eastAsia="仿宋_GB2312"/>
                <w:sz w:val="32"/>
                <w:szCs w:val="32"/>
              </w:rPr>
            </w:pPr>
          </w:p>
        </w:tc>
        <w:tc>
          <w:tcPr>
            <w:tcW w:w="1705" w:type="dxa"/>
            <w:vMerge w:val="continue"/>
            <w:vAlign w:val="top"/>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p>
        </w:tc>
        <w:tc>
          <w:tcPr>
            <w:tcW w:w="1701" w:type="dxa"/>
            <w:vAlign w:val="top"/>
          </w:tcPr>
          <w:p>
            <w:pPr>
              <w:jc w:val="center"/>
              <w:rPr>
                <w:rFonts w:ascii="仿宋_GB2312" w:eastAsia="仿宋_GB2312"/>
                <w:sz w:val="32"/>
                <w:szCs w:val="32"/>
              </w:rPr>
            </w:pPr>
          </w:p>
        </w:tc>
        <w:tc>
          <w:tcPr>
            <w:tcW w:w="1560" w:type="dxa"/>
            <w:vAlign w:val="top"/>
          </w:tcPr>
          <w:p>
            <w:pPr>
              <w:jc w:val="center"/>
              <w:rPr>
                <w:rFonts w:ascii="仿宋_GB2312" w:eastAsia="仿宋_GB2312"/>
                <w:sz w:val="32"/>
                <w:szCs w:val="32"/>
              </w:rPr>
            </w:pPr>
          </w:p>
        </w:tc>
        <w:tc>
          <w:tcPr>
            <w:tcW w:w="2314" w:type="dxa"/>
            <w:vAlign w:val="top"/>
          </w:tcPr>
          <w:p>
            <w:pPr>
              <w:jc w:val="center"/>
              <w:rPr>
                <w:rFonts w:ascii="仿宋_GB2312" w:eastAsia="仿宋_GB2312"/>
                <w:sz w:val="32"/>
                <w:szCs w:val="32"/>
              </w:rPr>
            </w:pPr>
            <w:r>
              <w:rPr>
                <w:rFonts w:hint="eastAsia" w:ascii="仿宋_GB2312" w:eastAsia="仿宋_GB2312"/>
                <w:sz w:val="32"/>
                <w:szCs w:val="32"/>
              </w:rPr>
              <w:t>合计</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1509.76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208</w:t>
            </w:r>
          </w:p>
        </w:tc>
        <w:tc>
          <w:tcPr>
            <w:tcW w:w="1701" w:type="dxa"/>
            <w:vAlign w:val="top"/>
          </w:tcPr>
          <w:p>
            <w:pPr>
              <w:jc w:val="center"/>
              <w:rPr>
                <w:rFonts w:ascii="仿宋_GB2312" w:eastAsia="仿宋_GB2312"/>
                <w:sz w:val="32"/>
                <w:szCs w:val="32"/>
              </w:rPr>
            </w:pPr>
          </w:p>
        </w:tc>
        <w:tc>
          <w:tcPr>
            <w:tcW w:w="1560" w:type="dxa"/>
            <w:vAlign w:val="top"/>
          </w:tcPr>
          <w:p>
            <w:pPr>
              <w:jc w:val="center"/>
              <w:rPr>
                <w:rFonts w:ascii="仿宋_GB2312" w:eastAsia="仿宋_GB2312"/>
                <w:sz w:val="32"/>
                <w:szCs w:val="32"/>
              </w:rPr>
            </w:pP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社会保障和就业</w:t>
            </w:r>
          </w:p>
        </w:tc>
        <w:tc>
          <w:tcPr>
            <w:tcW w:w="1705" w:type="dxa"/>
            <w:vAlign w:val="top"/>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287.98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208</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05</w:t>
            </w:r>
          </w:p>
        </w:tc>
        <w:tc>
          <w:tcPr>
            <w:tcW w:w="1560" w:type="dxa"/>
            <w:vAlign w:val="top"/>
          </w:tcPr>
          <w:p>
            <w:pPr>
              <w:jc w:val="center"/>
              <w:rPr>
                <w:rFonts w:ascii="仿宋_GB2312" w:eastAsia="仿宋_GB2312"/>
                <w:sz w:val="32"/>
                <w:szCs w:val="32"/>
              </w:rPr>
            </w:pP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行政事业单位离退休</w:t>
            </w:r>
          </w:p>
        </w:tc>
        <w:tc>
          <w:tcPr>
            <w:tcW w:w="1705" w:type="dxa"/>
            <w:vAlign w:val="top"/>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287.98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208</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05</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归口管理的行政单位离退休</w:t>
            </w:r>
          </w:p>
        </w:tc>
        <w:tc>
          <w:tcPr>
            <w:tcW w:w="1705" w:type="dxa"/>
            <w:vAlign w:val="top"/>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221.45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208</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05</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02</w:t>
            </w: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事业单位离退休</w:t>
            </w:r>
          </w:p>
        </w:tc>
        <w:tc>
          <w:tcPr>
            <w:tcW w:w="1705" w:type="dxa"/>
            <w:vAlign w:val="top"/>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66.53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p>
        </w:tc>
        <w:tc>
          <w:tcPr>
            <w:tcW w:w="1560" w:type="dxa"/>
            <w:vAlign w:val="top"/>
          </w:tcPr>
          <w:p>
            <w:pPr>
              <w:jc w:val="center"/>
              <w:rPr>
                <w:rFonts w:ascii="仿宋_GB2312" w:eastAsia="仿宋_GB2312"/>
                <w:sz w:val="32"/>
                <w:szCs w:val="32"/>
              </w:rPr>
            </w:pP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城乡社区事务</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1221.78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1560" w:type="dxa"/>
            <w:vAlign w:val="top"/>
          </w:tcPr>
          <w:p>
            <w:pPr>
              <w:jc w:val="center"/>
              <w:rPr>
                <w:rFonts w:ascii="仿宋_GB2312" w:eastAsia="仿宋_GB2312"/>
                <w:sz w:val="32"/>
                <w:szCs w:val="32"/>
              </w:rPr>
            </w:pP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城乡社区管理事务</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1111.78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行政运行</w:t>
            </w:r>
          </w:p>
        </w:tc>
        <w:tc>
          <w:tcPr>
            <w:tcW w:w="1705" w:type="dxa"/>
            <w:vAlign w:val="top"/>
          </w:tcPr>
          <w:p>
            <w:pPr>
              <w:jc w:val="center"/>
              <w:rPr>
                <w:rFonts w:ascii="仿宋_GB2312" w:eastAsia="仿宋_GB2312"/>
                <w:sz w:val="32"/>
                <w:szCs w:val="32"/>
              </w:rPr>
            </w:pPr>
            <w:r>
              <w:rPr>
                <w:rFonts w:hint="eastAsia" w:ascii="仿宋_GB2312" w:eastAsia="仿宋_GB2312"/>
                <w:sz w:val="32"/>
                <w:szCs w:val="32"/>
                <w:lang w:val="en-US" w:eastAsia="zh-CN"/>
              </w:rPr>
              <w:t>1104.38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212</w:t>
            </w:r>
          </w:p>
        </w:tc>
        <w:tc>
          <w:tcPr>
            <w:tcW w:w="1701"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01</w:t>
            </w:r>
          </w:p>
        </w:tc>
        <w:tc>
          <w:tcPr>
            <w:tcW w:w="1560"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02</w:t>
            </w:r>
          </w:p>
        </w:tc>
        <w:tc>
          <w:tcPr>
            <w:tcW w:w="2314" w:type="dxa"/>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一般行政管理事务</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99</w:t>
            </w: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其他城乡社区管理事务支出</w:t>
            </w:r>
          </w:p>
        </w:tc>
        <w:tc>
          <w:tcPr>
            <w:tcW w:w="1705" w:type="dxa"/>
            <w:vAlign w:val="top"/>
          </w:tcPr>
          <w:p>
            <w:pPr>
              <w:jc w:val="center"/>
              <w:rPr>
                <w:rFonts w:hint="eastAsia" w:ascii="仿宋_GB2312" w:eastAsia="仿宋_GB2312"/>
                <w:sz w:val="32"/>
                <w:szCs w:val="32"/>
                <w:lang w:eastAsia="zh-CN"/>
              </w:rPr>
            </w:pPr>
            <w:r>
              <w:rPr>
                <w:rFonts w:hint="eastAsia" w:ascii="仿宋_GB2312" w:eastAsia="仿宋_GB2312"/>
                <w:sz w:val="32"/>
                <w:szCs w:val="32"/>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02</w:t>
            </w:r>
          </w:p>
        </w:tc>
        <w:tc>
          <w:tcPr>
            <w:tcW w:w="1560" w:type="dxa"/>
            <w:vAlign w:val="top"/>
          </w:tcPr>
          <w:p>
            <w:pPr>
              <w:jc w:val="center"/>
              <w:rPr>
                <w:rFonts w:ascii="仿宋_GB2312" w:eastAsia="仿宋_GB2312"/>
                <w:sz w:val="32"/>
                <w:szCs w:val="32"/>
              </w:rPr>
            </w:pP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城乡社区规划与管理</w:t>
            </w:r>
          </w:p>
        </w:tc>
        <w:tc>
          <w:tcPr>
            <w:tcW w:w="1705" w:type="dxa"/>
            <w:vAlign w:val="top"/>
          </w:tcPr>
          <w:p>
            <w:pPr>
              <w:jc w:val="center"/>
              <w:rPr>
                <w:rFonts w:ascii="仿宋_GB2312" w:eastAsia="仿宋_GB2312"/>
                <w:sz w:val="32"/>
                <w:szCs w:val="32"/>
              </w:rPr>
            </w:pPr>
            <w:r>
              <w:rPr>
                <w:rFonts w:hint="eastAsia" w:ascii="仿宋_GB2312" w:eastAsia="仿宋_GB2312"/>
                <w:sz w:val="32"/>
                <w:szCs w:val="3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ascii="仿宋_GB2312" w:eastAsia="仿宋_GB2312"/>
                <w:sz w:val="32"/>
                <w:szCs w:val="32"/>
              </w:rPr>
            </w:pPr>
            <w:r>
              <w:rPr>
                <w:rFonts w:hint="eastAsia" w:ascii="仿宋_GB2312" w:eastAsia="仿宋_GB2312"/>
                <w:sz w:val="32"/>
                <w:szCs w:val="32"/>
              </w:rPr>
              <w:t>212</w:t>
            </w:r>
          </w:p>
        </w:tc>
        <w:tc>
          <w:tcPr>
            <w:tcW w:w="1701" w:type="dxa"/>
            <w:vAlign w:val="top"/>
          </w:tcPr>
          <w:p>
            <w:pPr>
              <w:jc w:val="center"/>
              <w:rPr>
                <w:rFonts w:ascii="仿宋_GB2312" w:eastAsia="仿宋_GB2312"/>
                <w:sz w:val="32"/>
                <w:szCs w:val="32"/>
              </w:rPr>
            </w:pPr>
            <w:r>
              <w:rPr>
                <w:rFonts w:hint="eastAsia" w:ascii="仿宋_GB2312" w:eastAsia="仿宋_GB2312"/>
                <w:sz w:val="32"/>
                <w:szCs w:val="32"/>
              </w:rPr>
              <w:t>02</w:t>
            </w:r>
          </w:p>
        </w:tc>
        <w:tc>
          <w:tcPr>
            <w:tcW w:w="1560" w:type="dxa"/>
            <w:vAlign w:val="top"/>
          </w:tcPr>
          <w:p>
            <w:pPr>
              <w:jc w:val="center"/>
              <w:rPr>
                <w:rFonts w:ascii="仿宋_GB2312" w:eastAsia="仿宋_GB2312"/>
                <w:sz w:val="32"/>
                <w:szCs w:val="32"/>
              </w:rPr>
            </w:pPr>
            <w:r>
              <w:rPr>
                <w:rFonts w:hint="eastAsia" w:ascii="仿宋_GB2312" w:eastAsia="仿宋_GB2312"/>
                <w:sz w:val="32"/>
                <w:szCs w:val="32"/>
              </w:rPr>
              <w:t>01</w:t>
            </w:r>
          </w:p>
        </w:tc>
        <w:tc>
          <w:tcPr>
            <w:tcW w:w="2314" w:type="dxa"/>
            <w:vAlign w:val="center"/>
          </w:tcPr>
          <w:p>
            <w:pPr>
              <w:jc w:val="center"/>
              <w:rPr>
                <w:rFonts w:ascii="仿宋_GB2312" w:eastAsia="仿宋_GB2312"/>
                <w:sz w:val="24"/>
                <w:szCs w:val="24"/>
              </w:rPr>
            </w:pPr>
            <w:r>
              <w:rPr>
                <w:rFonts w:hint="eastAsia" w:ascii="仿宋_GB2312" w:eastAsia="仿宋_GB2312"/>
                <w:sz w:val="24"/>
                <w:szCs w:val="24"/>
              </w:rPr>
              <w:t>城乡社区规划与管理</w:t>
            </w:r>
          </w:p>
        </w:tc>
        <w:tc>
          <w:tcPr>
            <w:tcW w:w="1705" w:type="dxa"/>
            <w:vAlign w:val="top"/>
          </w:tcPr>
          <w:p>
            <w:pPr>
              <w:jc w:val="center"/>
              <w:rPr>
                <w:rFonts w:ascii="仿宋_GB2312" w:eastAsia="仿宋_GB2312"/>
                <w:sz w:val="32"/>
                <w:szCs w:val="32"/>
              </w:rPr>
            </w:pPr>
            <w:r>
              <w:rPr>
                <w:rFonts w:hint="eastAsia" w:ascii="仿宋_GB2312" w:eastAsia="仿宋_GB2312"/>
                <w:sz w:val="32"/>
                <w:szCs w:val="3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212</w:t>
            </w:r>
          </w:p>
        </w:tc>
        <w:tc>
          <w:tcPr>
            <w:tcW w:w="1701"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13</w:t>
            </w:r>
          </w:p>
        </w:tc>
        <w:tc>
          <w:tcPr>
            <w:tcW w:w="1560" w:type="dxa"/>
            <w:vAlign w:val="top"/>
          </w:tcPr>
          <w:p>
            <w:pPr>
              <w:jc w:val="center"/>
              <w:rPr>
                <w:rFonts w:hint="eastAsia" w:ascii="仿宋_GB2312" w:eastAsia="仿宋_GB2312"/>
                <w:sz w:val="32"/>
                <w:szCs w:val="32"/>
              </w:rPr>
            </w:pPr>
          </w:p>
        </w:tc>
        <w:tc>
          <w:tcPr>
            <w:tcW w:w="2314" w:type="dxa"/>
            <w:vAlign w:val="center"/>
          </w:tcPr>
          <w:p>
            <w:pPr>
              <w:jc w:val="center"/>
              <w:rPr>
                <w:rFonts w:hint="eastAsia" w:ascii="仿宋_GB2312" w:eastAsia="仿宋_GB2312"/>
                <w:sz w:val="24"/>
                <w:szCs w:val="24"/>
              </w:rPr>
            </w:pPr>
            <w:r>
              <w:rPr>
                <w:rFonts w:hint="eastAsia" w:ascii="仿宋_GB2312" w:eastAsia="仿宋_GB2312"/>
                <w:sz w:val="24"/>
                <w:szCs w:val="24"/>
                <w:lang w:eastAsia="zh-CN"/>
              </w:rPr>
              <w:t>城市基础设施配套费安排的支出</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1242"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212</w:t>
            </w:r>
          </w:p>
        </w:tc>
        <w:tc>
          <w:tcPr>
            <w:tcW w:w="1701"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13</w:t>
            </w:r>
          </w:p>
        </w:tc>
        <w:tc>
          <w:tcPr>
            <w:tcW w:w="1560"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99</w:t>
            </w:r>
          </w:p>
        </w:tc>
        <w:tc>
          <w:tcPr>
            <w:tcW w:w="2314" w:type="dxa"/>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其他城市基础设施配套费安排的支出</w:t>
            </w:r>
          </w:p>
        </w:tc>
        <w:tc>
          <w:tcPr>
            <w:tcW w:w="1705"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100</w:t>
            </w:r>
          </w:p>
        </w:tc>
      </w:tr>
    </w:tbl>
    <w:p>
      <w:pPr>
        <w:ind w:right="640"/>
        <w:jc w:val="right"/>
        <w:rPr>
          <w:rFonts w:ascii="仿宋_GB2312" w:eastAsia="仿宋_GB2312"/>
          <w:sz w:val="32"/>
          <w:szCs w:val="32"/>
        </w:rPr>
      </w:pPr>
      <w:r>
        <w:rPr>
          <w:rFonts w:hint="eastAsia" w:ascii="仿宋_GB2312" w:eastAsia="仿宋_GB2312"/>
          <w:sz w:val="32"/>
          <w:szCs w:val="32"/>
        </w:rPr>
        <w:t xml:space="preserve"> 表3.201</w:t>
      </w:r>
      <w:r>
        <w:rPr>
          <w:rFonts w:hint="eastAsia" w:ascii="仿宋_GB2312" w:eastAsia="仿宋_GB2312"/>
          <w:sz w:val="32"/>
          <w:szCs w:val="32"/>
          <w:lang w:val="en-US" w:eastAsia="zh-CN"/>
        </w:rPr>
        <w:t>4</w:t>
      </w:r>
      <w:r>
        <w:rPr>
          <w:rFonts w:hint="eastAsia" w:ascii="仿宋_GB2312" w:eastAsia="仿宋_GB2312"/>
          <w:sz w:val="32"/>
          <w:szCs w:val="32"/>
        </w:rPr>
        <w:t>年公共预算财政拨款“三公”经费支出预算表                                                             单位：万元</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1420" w:type="dxa"/>
            <w:vMerge w:val="restart"/>
            <w:vAlign w:val="center"/>
          </w:tcPr>
          <w:p>
            <w:pPr>
              <w:jc w:val="center"/>
              <w:rPr>
                <w:rFonts w:ascii="仿宋_GB2312" w:eastAsia="仿宋_GB2312"/>
                <w:sz w:val="24"/>
                <w:szCs w:val="24"/>
              </w:rPr>
            </w:pPr>
            <w:r>
              <w:rPr>
                <w:rFonts w:hint="eastAsia" w:ascii="仿宋_GB2312" w:eastAsia="仿宋_GB2312"/>
                <w:sz w:val="24"/>
                <w:szCs w:val="24"/>
              </w:rPr>
              <w:t>总</w:t>
            </w:r>
            <w:r>
              <w:rPr>
                <w:rFonts w:hint="eastAsia" w:ascii="仿宋_GB2312" w:eastAsia="仿宋_GB2312"/>
                <w:sz w:val="24"/>
                <w:szCs w:val="24"/>
                <w:lang w:val="en-US" w:eastAsia="zh-CN"/>
              </w:rPr>
              <w:t xml:space="preserve"> </w:t>
            </w:r>
            <w:r>
              <w:rPr>
                <w:rFonts w:hint="eastAsia" w:ascii="仿宋_GB2312" w:eastAsia="仿宋_GB2312"/>
                <w:sz w:val="24"/>
                <w:szCs w:val="24"/>
              </w:rPr>
              <w:t>计</w:t>
            </w:r>
          </w:p>
        </w:tc>
        <w:tc>
          <w:tcPr>
            <w:tcW w:w="1420" w:type="dxa"/>
            <w:vMerge w:val="restart"/>
            <w:vAlign w:val="center"/>
          </w:tcPr>
          <w:p>
            <w:pPr>
              <w:jc w:val="center"/>
              <w:rPr>
                <w:rFonts w:ascii="仿宋_GB2312" w:eastAsia="仿宋_GB2312"/>
                <w:sz w:val="24"/>
                <w:szCs w:val="24"/>
              </w:rPr>
            </w:pPr>
            <w:r>
              <w:rPr>
                <w:rFonts w:hint="eastAsia" w:ascii="仿宋_GB2312" w:eastAsia="仿宋_GB2312"/>
                <w:sz w:val="24"/>
                <w:szCs w:val="24"/>
              </w:rPr>
              <w:t>因公出国（境）经费</w:t>
            </w:r>
          </w:p>
        </w:tc>
        <w:tc>
          <w:tcPr>
            <w:tcW w:w="4261" w:type="dxa"/>
            <w:gridSpan w:val="3"/>
            <w:vAlign w:val="top"/>
          </w:tcPr>
          <w:p>
            <w:pPr>
              <w:jc w:val="center"/>
              <w:rPr>
                <w:rFonts w:ascii="仿宋_GB2312" w:eastAsia="仿宋_GB2312"/>
                <w:sz w:val="24"/>
                <w:szCs w:val="24"/>
              </w:rPr>
            </w:pPr>
            <w:r>
              <w:rPr>
                <w:rFonts w:hint="eastAsia" w:ascii="仿宋_GB2312" w:eastAsia="仿宋_GB2312"/>
                <w:sz w:val="24"/>
                <w:szCs w:val="24"/>
              </w:rPr>
              <w:t>公务用车购置和运行维护费</w:t>
            </w:r>
          </w:p>
        </w:tc>
        <w:tc>
          <w:tcPr>
            <w:tcW w:w="1421" w:type="dxa"/>
            <w:vMerge w:val="restart"/>
            <w:vAlign w:val="center"/>
          </w:tcPr>
          <w:p>
            <w:pPr>
              <w:jc w:val="center"/>
              <w:rPr>
                <w:rFonts w:ascii="仿宋_GB2312" w:eastAsia="仿宋_GB2312"/>
                <w:sz w:val="24"/>
                <w:szCs w:val="24"/>
              </w:rPr>
            </w:pPr>
            <w:r>
              <w:rPr>
                <w:rFonts w:hint="eastAsia" w:ascii="仿宋_GB2312" w:eastAsia="仿宋_GB2312"/>
                <w:sz w:val="24"/>
                <w:szCs w:val="24"/>
              </w:rPr>
              <w:t>公务接待费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1420" w:type="dxa"/>
            <w:vMerge w:val="continue"/>
            <w:vAlign w:val="top"/>
          </w:tcPr>
          <w:p>
            <w:pPr>
              <w:jc w:val="center"/>
              <w:rPr>
                <w:rFonts w:ascii="仿宋_GB2312" w:eastAsia="仿宋_GB2312"/>
                <w:sz w:val="24"/>
                <w:szCs w:val="24"/>
              </w:rPr>
            </w:pPr>
          </w:p>
        </w:tc>
        <w:tc>
          <w:tcPr>
            <w:tcW w:w="1420" w:type="dxa"/>
            <w:vMerge w:val="continue"/>
            <w:vAlign w:val="top"/>
          </w:tcPr>
          <w:p>
            <w:pPr>
              <w:jc w:val="center"/>
              <w:rPr>
                <w:rFonts w:ascii="仿宋_GB2312" w:eastAsia="仿宋_GB2312"/>
                <w:sz w:val="24"/>
                <w:szCs w:val="24"/>
              </w:rPr>
            </w:pPr>
          </w:p>
        </w:tc>
        <w:tc>
          <w:tcPr>
            <w:tcW w:w="1420" w:type="dxa"/>
            <w:vAlign w:val="center"/>
          </w:tcPr>
          <w:p>
            <w:pPr>
              <w:jc w:val="center"/>
              <w:rPr>
                <w:rFonts w:ascii="仿宋_GB2312" w:eastAsia="仿宋_GB2312"/>
                <w:sz w:val="24"/>
                <w:szCs w:val="24"/>
              </w:rPr>
            </w:pPr>
            <w:r>
              <w:rPr>
                <w:rFonts w:hint="eastAsia" w:ascii="仿宋_GB2312" w:eastAsia="仿宋_GB2312"/>
                <w:sz w:val="24"/>
                <w:szCs w:val="24"/>
              </w:rPr>
              <w:t>小</w:t>
            </w:r>
            <w:r>
              <w:rPr>
                <w:rFonts w:hint="eastAsia" w:ascii="仿宋_GB2312" w:eastAsia="仿宋_GB2312"/>
                <w:sz w:val="24"/>
                <w:szCs w:val="24"/>
                <w:lang w:val="en-US" w:eastAsia="zh-CN"/>
              </w:rPr>
              <w:t xml:space="preserve"> </w:t>
            </w:r>
            <w:r>
              <w:rPr>
                <w:rFonts w:hint="eastAsia" w:ascii="仿宋_GB2312" w:eastAsia="仿宋_GB2312"/>
                <w:sz w:val="24"/>
                <w:szCs w:val="24"/>
              </w:rPr>
              <w:t>计</w:t>
            </w:r>
          </w:p>
        </w:tc>
        <w:tc>
          <w:tcPr>
            <w:tcW w:w="1420" w:type="dxa"/>
            <w:vAlign w:val="top"/>
          </w:tcPr>
          <w:p>
            <w:pPr>
              <w:jc w:val="center"/>
              <w:rPr>
                <w:rFonts w:ascii="仿宋_GB2312" w:eastAsia="仿宋_GB2312"/>
                <w:sz w:val="24"/>
                <w:szCs w:val="24"/>
              </w:rPr>
            </w:pPr>
            <w:r>
              <w:rPr>
                <w:rFonts w:hint="eastAsia" w:ascii="仿宋_GB2312" w:eastAsia="仿宋_GB2312"/>
                <w:sz w:val="24"/>
                <w:szCs w:val="24"/>
              </w:rPr>
              <w:t>公务用车购置经费</w:t>
            </w:r>
          </w:p>
        </w:tc>
        <w:tc>
          <w:tcPr>
            <w:tcW w:w="1421" w:type="dxa"/>
            <w:vAlign w:val="top"/>
          </w:tcPr>
          <w:p>
            <w:pPr>
              <w:jc w:val="center"/>
              <w:rPr>
                <w:rFonts w:ascii="仿宋_GB2312" w:eastAsia="仿宋_GB2312"/>
                <w:sz w:val="24"/>
                <w:szCs w:val="24"/>
              </w:rPr>
            </w:pPr>
            <w:r>
              <w:rPr>
                <w:rFonts w:hint="eastAsia" w:ascii="仿宋_GB2312" w:eastAsia="仿宋_GB2312"/>
                <w:sz w:val="24"/>
                <w:szCs w:val="24"/>
              </w:rPr>
              <w:t>公务用车运行维护费</w:t>
            </w:r>
          </w:p>
        </w:tc>
        <w:tc>
          <w:tcPr>
            <w:tcW w:w="1421" w:type="dxa"/>
            <w:vMerge w:val="continue"/>
            <w:vAlign w:val="top"/>
          </w:tcPr>
          <w:p>
            <w:pPr>
              <w:jc w:val="center"/>
              <w:rPr>
                <w:rFonts w:ascii="仿宋_GB2312" w:eastAsia="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vAlign w:val="top"/>
          </w:tcPr>
          <w:p>
            <w:p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4</w:t>
            </w:r>
            <w:bookmarkStart w:id="0" w:name="_GoBack"/>
            <w:bookmarkEnd w:id="0"/>
            <w:r>
              <w:rPr>
                <w:rFonts w:hint="eastAsia" w:ascii="仿宋_GB2312" w:eastAsia="仿宋_GB2312"/>
                <w:sz w:val="32"/>
                <w:szCs w:val="32"/>
                <w:lang w:val="en-US" w:eastAsia="zh-CN"/>
              </w:rPr>
              <w:t>9.7</w:t>
            </w:r>
          </w:p>
        </w:tc>
        <w:tc>
          <w:tcPr>
            <w:tcW w:w="1420" w:type="dxa"/>
            <w:vAlign w:val="top"/>
          </w:tcPr>
          <w:p>
            <w:pPr>
              <w:jc w:val="center"/>
              <w:rPr>
                <w:rFonts w:ascii="仿宋_GB2312" w:eastAsia="仿宋_GB2312"/>
                <w:sz w:val="32"/>
                <w:szCs w:val="32"/>
              </w:rPr>
            </w:pPr>
          </w:p>
        </w:tc>
        <w:tc>
          <w:tcPr>
            <w:tcW w:w="1420" w:type="dxa"/>
            <w:vAlign w:val="top"/>
          </w:tcPr>
          <w:p>
            <w:pPr>
              <w:jc w:val="center"/>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8.50</w:t>
            </w:r>
          </w:p>
        </w:tc>
        <w:tc>
          <w:tcPr>
            <w:tcW w:w="1420" w:type="dxa"/>
            <w:vAlign w:val="top"/>
          </w:tcPr>
          <w:p>
            <w:pPr>
              <w:jc w:val="center"/>
              <w:rPr>
                <w:rFonts w:ascii="仿宋_GB2312" w:eastAsia="仿宋_GB2312"/>
                <w:sz w:val="32"/>
                <w:szCs w:val="32"/>
              </w:rPr>
            </w:pPr>
          </w:p>
        </w:tc>
        <w:tc>
          <w:tcPr>
            <w:tcW w:w="1421" w:type="dxa"/>
            <w:vAlign w:val="top"/>
          </w:tcPr>
          <w:p>
            <w:pPr>
              <w:jc w:val="center"/>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8.50</w:t>
            </w:r>
          </w:p>
        </w:tc>
        <w:tc>
          <w:tcPr>
            <w:tcW w:w="1421" w:type="dxa"/>
            <w:vAlign w:val="top"/>
          </w:tcPr>
          <w:p>
            <w:pPr>
              <w:jc w:val="center"/>
              <w:rPr>
                <w:rFonts w:ascii="仿宋_GB2312" w:eastAsia="仿宋_GB2312"/>
                <w:sz w:val="32"/>
                <w:szCs w:val="32"/>
              </w:rPr>
            </w:pPr>
            <w:r>
              <w:rPr>
                <w:rFonts w:hint="eastAsia" w:ascii="仿宋_GB2312" w:eastAsia="仿宋_GB2312"/>
                <w:sz w:val="32"/>
                <w:szCs w:val="32"/>
                <w:lang w:val="en-US" w:eastAsia="zh-CN"/>
              </w:rPr>
              <w:t>11</w:t>
            </w:r>
            <w:r>
              <w:rPr>
                <w:rFonts w:hint="eastAsia" w:ascii="仿宋_GB2312" w:eastAsia="仿宋_GB2312"/>
                <w:sz w:val="32"/>
                <w:szCs w:val="32"/>
              </w:rPr>
              <w:t>.20</w:t>
            </w:r>
          </w:p>
        </w:tc>
      </w:tr>
    </w:tbl>
    <w:p>
      <w:pPr>
        <w:pStyle w:val="6"/>
        <w:ind w:left="0" w:leftChars="0" w:firstLine="0" w:firstLineChars="0"/>
        <w:jc w:val="center"/>
        <w:rPr>
          <w:rFonts w:ascii="黑体" w:eastAsia="黑体"/>
          <w:sz w:val="44"/>
          <w:szCs w:val="44"/>
        </w:rPr>
      </w:pPr>
      <w:r>
        <w:rPr>
          <w:rFonts w:hint="eastAsia" w:ascii="黑体" w:eastAsia="黑体"/>
          <w:sz w:val="44"/>
          <w:szCs w:val="44"/>
        </w:rPr>
        <w:t>第三部分  201</w:t>
      </w:r>
      <w:r>
        <w:rPr>
          <w:rFonts w:hint="eastAsia" w:ascii="黑体" w:eastAsia="黑体"/>
          <w:sz w:val="44"/>
          <w:szCs w:val="44"/>
          <w:lang w:val="en-US" w:eastAsia="zh-CN"/>
        </w:rPr>
        <w:t>4</w:t>
      </w:r>
      <w:r>
        <w:rPr>
          <w:rFonts w:hint="eastAsia" w:ascii="黑体" w:eastAsia="黑体"/>
          <w:sz w:val="44"/>
          <w:szCs w:val="44"/>
        </w:rPr>
        <w:t>年部门预算情况说明</w:t>
      </w:r>
    </w:p>
    <w:p>
      <w:pPr>
        <w:rPr>
          <w:rFonts w:hint="eastAsia" w:ascii="黑体" w:eastAsia="黑体"/>
          <w:sz w:val="32"/>
          <w:szCs w:val="32"/>
        </w:rPr>
      </w:pPr>
    </w:p>
    <w:p>
      <w:pPr>
        <w:pStyle w:val="6"/>
        <w:numPr>
          <w:ilvl w:val="0"/>
          <w:numId w:val="2"/>
        </w:numPr>
        <w:ind w:firstLineChars="0"/>
        <w:rPr>
          <w:rFonts w:hint="eastAsia" w:ascii="仿宋_GB2312" w:eastAsia="仿宋_GB2312"/>
          <w:b/>
          <w:sz w:val="32"/>
          <w:szCs w:val="32"/>
        </w:rPr>
      </w:pPr>
      <w:r>
        <w:rPr>
          <w:rFonts w:hint="eastAsia" w:ascii="仿宋_GB2312" w:eastAsia="仿宋_GB2312"/>
          <w:b/>
          <w:sz w:val="32"/>
          <w:szCs w:val="32"/>
        </w:rPr>
        <w:t>预算编制的基本原则和方法</w:t>
      </w:r>
    </w:p>
    <w:p>
      <w:pPr>
        <w:ind w:firstLine="640" w:firstLineChars="200"/>
        <w:rPr>
          <w:rFonts w:ascii="仿宋_GB2312" w:eastAsia="仿宋_GB2312"/>
          <w:sz w:val="32"/>
          <w:szCs w:val="32"/>
        </w:rPr>
      </w:pPr>
      <w:r>
        <w:rPr>
          <w:rFonts w:hint="eastAsia" w:ascii="仿宋_GB2312" w:eastAsia="仿宋_GB2312"/>
          <w:sz w:val="32"/>
          <w:szCs w:val="32"/>
        </w:rPr>
        <w:t>（一）按照市级预算管理有关规定，预算编制实行综合预算，委机关及所属 2个单位的收入和支出均纳入年度预算。</w:t>
      </w:r>
    </w:p>
    <w:p>
      <w:pPr>
        <w:ind w:firstLine="640" w:firstLineChars="200"/>
        <w:rPr>
          <w:rFonts w:ascii="仿宋_GB2312" w:eastAsia="仿宋_GB2312"/>
          <w:sz w:val="32"/>
          <w:szCs w:val="32"/>
        </w:rPr>
      </w:pPr>
      <w:r>
        <w:rPr>
          <w:rFonts w:hint="eastAsia" w:ascii="仿宋_GB2312" w:eastAsia="仿宋_GB2312"/>
          <w:sz w:val="32"/>
          <w:szCs w:val="32"/>
        </w:rPr>
        <w:t>（二）认真执行中央、省和市委、市政府有关规定要求，努力增收节支，控制行政成本，提高资金使用效益。</w:t>
      </w:r>
    </w:p>
    <w:p>
      <w:pPr>
        <w:ind w:firstLine="640" w:firstLineChars="200"/>
        <w:rPr>
          <w:rFonts w:ascii="仿宋_GB2312" w:eastAsia="仿宋_GB2312"/>
          <w:sz w:val="32"/>
          <w:szCs w:val="32"/>
        </w:rPr>
      </w:pPr>
      <w:r>
        <w:rPr>
          <w:rFonts w:hint="eastAsia" w:ascii="仿宋_GB2312" w:eastAsia="仿宋_GB2312"/>
          <w:sz w:val="32"/>
          <w:szCs w:val="32"/>
        </w:rPr>
        <w:t>（三）根据市级预算管理有关规定，人员经费按编制内实有人员和工资、津补贴政策规定编制；公用经费按照统一定额标准编制；项目支出按照履行职能需要，遵循统筹兼顾和确保重点的原则，区分轻重缓急，结合财力情况编制。</w:t>
      </w:r>
    </w:p>
    <w:p>
      <w:pPr>
        <w:pStyle w:val="6"/>
        <w:numPr>
          <w:ilvl w:val="0"/>
          <w:numId w:val="2"/>
        </w:numPr>
        <w:ind w:firstLineChars="0"/>
        <w:rPr>
          <w:rFonts w:ascii="仿宋_GB2312" w:eastAsia="仿宋_GB2312"/>
          <w:b/>
          <w:sz w:val="32"/>
          <w:szCs w:val="32"/>
        </w:rPr>
      </w:pPr>
      <w:r>
        <w:rPr>
          <w:rFonts w:hint="eastAsia" w:ascii="仿宋_GB2312" w:eastAsia="仿宋_GB2312"/>
          <w:b/>
          <w:sz w:val="32"/>
          <w:szCs w:val="32"/>
        </w:rPr>
        <w:t>收支预算总体情况</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年收入预算为</w:t>
      </w:r>
      <w:r>
        <w:rPr>
          <w:rFonts w:hint="eastAsia" w:ascii="仿宋_GB2312" w:eastAsia="仿宋_GB2312"/>
          <w:sz w:val="32"/>
          <w:szCs w:val="32"/>
          <w:lang w:val="en-US" w:eastAsia="zh-CN"/>
        </w:rPr>
        <w:t>1509</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6万元，其中财政拨款（补助）</w:t>
      </w:r>
      <w:r>
        <w:rPr>
          <w:rFonts w:hint="eastAsia" w:ascii="仿宋_GB2312" w:eastAsia="仿宋_GB2312"/>
          <w:sz w:val="32"/>
          <w:szCs w:val="32"/>
          <w:lang w:val="en-US" w:eastAsia="zh-CN"/>
        </w:rPr>
        <w:t>1409</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6万元，</w:t>
      </w:r>
      <w:r>
        <w:rPr>
          <w:rFonts w:hint="eastAsia" w:ascii="仿宋_GB2312" w:eastAsia="仿宋_GB2312"/>
          <w:sz w:val="32"/>
          <w:szCs w:val="32"/>
          <w:lang w:eastAsia="zh-CN"/>
        </w:rPr>
        <w:t>上年</w:t>
      </w:r>
      <w:r>
        <w:rPr>
          <w:rFonts w:hint="eastAsia" w:ascii="仿宋_GB2312" w:eastAsia="仿宋_GB2312"/>
          <w:sz w:val="32"/>
          <w:szCs w:val="32"/>
        </w:rPr>
        <w:t>政府性基金</w:t>
      </w:r>
      <w:r>
        <w:rPr>
          <w:rFonts w:hint="eastAsia" w:ascii="仿宋_GB2312" w:eastAsia="仿宋_GB2312"/>
          <w:sz w:val="32"/>
          <w:szCs w:val="32"/>
          <w:lang w:eastAsia="zh-CN"/>
        </w:rPr>
        <w:t>结转</w:t>
      </w:r>
      <w:r>
        <w:rPr>
          <w:rFonts w:hint="eastAsia" w:ascii="仿宋_GB2312" w:eastAsia="仿宋_GB2312"/>
          <w:sz w:val="32"/>
          <w:szCs w:val="32"/>
        </w:rPr>
        <w:t>100万元。</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年支出预算为</w:t>
      </w:r>
      <w:r>
        <w:rPr>
          <w:rFonts w:hint="eastAsia" w:ascii="仿宋_GB2312" w:eastAsia="仿宋_GB2312"/>
          <w:sz w:val="32"/>
          <w:szCs w:val="32"/>
          <w:lang w:val="en-US" w:eastAsia="zh-CN"/>
        </w:rPr>
        <w:t>1509</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6万元，其中社会保障和就业支出</w:t>
      </w:r>
      <w:r>
        <w:rPr>
          <w:rFonts w:hint="eastAsia" w:ascii="仿宋_GB2312" w:eastAsia="仿宋_GB2312"/>
          <w:sz w:val="32"/>
          <w:szCs w:val="32"/>
          <w:lang w:val="en-US" w:eastAsia="zh-CN"/>
        </w:rPr>
        <w:t>287.98</w:t>
      </w:r>
      <w:r>
        <w:rPr>
          <w:rFonts w:hint="eastAsia" w:ascii="仿宋_GB2312" w:eastAsia="仿宋_GB2312"/>
          <w:sz w:val="32"/>
          <w:szCs w:val="32"/>
        </w:rPr>
        <w:t>万元，城乡社区事务支出</w:t>
      </w:r>
      <w:r>
        <w:rPr>
          <w:rFonts w:hint="eastAsia" w:ascii="仿宋_GB2312" w:eastAsia="仿宋_GB2312"/>
          <w:sz w:val="32"/>
          <w:szCs w:val="32"/>
          <w:lang w:val="en-US" w:eastAsia="zh-CN"/>
        </w:rPr>
        <w:t>1221.78</w:t>
      </w:r>
      <w:r>
        <w:rPr>
          <w:rFonts w:hint="eastAsia" w:ascii="仿宋_GB2312" w:eastAsia="仿宋_GB2312"/>
          <w:sz w:val="32"/>
          <w:szCs w:val="32"/>
        </w:rPr>
        <w:t>万元，</w:t>
      </w:r>
      <w:r>
        <w:rPr>
          <w:rFonts w:hint="eastAsia" w:ascii="仿宋_GB2312" w:eastAsia="仿宋_GB2312"/>
          <w:sz w:val="32"/>
          <w:szCs w:val="32"/>
          <w:lang w:eastAsia="zh-CN"/>
        </w:rPr>
        <w:t>城市基础设施配套费安排的支出</w:t>
      </w:r>
      <w:r>
        <w:rPr>
          <w:rFonts w:hint="eastAsia" w:ascii="仿宋_GB2312" w:eastAsia="仿宋_GB2312"/>
          <w:sz w:val="32"/>
          <w:szCs w:val="32"/>
        </w:rPr>
        <w:t>100万元。</w:t>
      </w:r>
    </w:p>
    <w:p>
      <w:pPr>
        <w:ind w:firstLine="643" w:firstLineChars="200"/>
        <w:rPr>
          <w:rFonts w:hint="eastAsia" w:ascii="仿宋_GB2312" w:eastAsia="仿宋_GB2312"/>
          <w:b/>
          <w:sz w:val="32"/>
          <w:szCs w:val="32"/>
        </w:rPr>
      </w:pPr>
      <w:r>
        <w:rPr>
          <w:rFonts w:hint="eastAsia" w:ascii="仿宋_GB2312" w:eastAsia="仿宋_GB2312"/>
          <w:b/>
          <w:sz w:val="32"/>
          <w:szCs w:val="32"/>
        </w:rPr>
        <w:t>三、财政拨款支出预算情况</w:t>
      </w:r>
    </w:p>
    <w:p>
      <w:pPr>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年财政拨款支出预算为</w:t>
      </w:r>
      <w:r>
        <w:rPr>
          <w:rFonts w:hint="eastAsia" w:ascii="仿宋_GB2312" w:eastAsia="仿宋_GB2312"/>
          <w:sz w:val="32"/>
          <w:szCs w:val="32"/>
          <w:lang w:val="en-US" w:eastAsia="zh-CN"/>
        </w:rPr>
        <w:t>1509</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6万元，具体情况如下：</w:t>
      </w:r>
    </w:p>
    <w:p>
      <w:pPr>
        <w:ind w:firstLine="640" w:firstLineChars="200"/>
        <w:rPr>
          <w:rFonts w:ascii="仿宋_GB2312" w:eastAsia="仿宋_GB2312"/>
          <w:sz w:val="32"/>
          <w:szCs w:val="32"/>
        </w:rPr>
      </w:pPr>
      <w:r>
        <w:rPr>
          <w:rFonts w:hint="eastAsia" w:ascii="仿宋_GB2312" w:eastAsia="仿宋_GB2312"/>
          <w:sz w:val="32"/>
          <w:szCs w:val="32"/>
        </w:rPr>
        <w:t>1、社会保障和就业（类）行政事业单位离退休（款）支出</w:t>
      </w:r>
      <w:r>
        <w:rPr>
          <w:rFonts w:hint="eastAsia" w:ascii="仿宋_GB2312" w:eastAsia="仿宋_GB2312"/>
          <w:sz w:val="32"/>
          <w:szCs w:val="32"/>
          <w:lang w:val="en-US" w:eastAsia="zh-CN"/>
        </w:rPr>
        <w:t>287.98</w:t>
      </w:r>
      <w:r>
        <w:rPr>
          <w:rFonts w:hint="eastAsia" w:ascii="仿宋_GB2312" w:eastAsia="仿宋_GB2312"/>
          <w:sz w:val="32"/>
          <w:szCs w:val="32"/>
        </w:rPr>
        <w:t>万元，主要用于机关及事业单位离退休人员补贴、职工社保费及抚恤金支出等方面。</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rPr>
        <w:t>2、城乡社区事务（类）城乡社区管理事务（款）支出</w:t>
      </w:r>
      <w:r>
        <w:rPr>
          <w:rFonts w:hint="eastAsia" w:ascii="仿宋_GB2312" w:eastAsia="仿宋_GB2312"/>
          <w:sz w:val="32"/>
          <w:szCs w:val="32"/>
          <w:lang w:val="en-US" w:eastAsia="zh-CN"/>
        </w:rPr>
        <w:t>1221.78</w:t>
      </w:r>
      <w:r>
        <w:rPr>
          <w:rFonts w:hint="eastAsia" w:ascii="仿宋_GB2312" w:eastAsia="仿宋_GB2312"/>
          <w:sz w:val="32"/>
          <w:szCs w:val="32"/>
        </w:rPr>
        <w:t>万元，主要用于机关及事业单位职工工资规范性补贴支出、开展工作的公用经费支出、对个人和家庭的补助支出、清理拖欠建筑领域农民工工资工作经费</w:t>
      </w:r>
      <w:r>
        <w:rPr>
          <w:rFonts w:hint="eastAsia" w:ascii="仿宋_GB2312" w:eastAsia="仿宋_GB2312"/>
          <w:sz w:val="32"/>
          <w:szCs w:val="32"/>
          <w:lang w:eastAsia="zh-CN"/>
        </w:rPr>
        <w:t>支出</w:t>
      </w:r>
      <w:r>
        <w:rPr>
          <w:rFonts w:hint="eastAsia" w:ascii="仿宋_GB2312" w:eastAsia="仿宋_GB2312"/>
          <w:sz w:val="32"/>
          <w:szCs w:val="32"/>
        </w:rPr>
        <w:t>；城乡社区规划与管理（款）支出10万元，主要用于城市防汛工作经费</w:t>
      </w:r>
      <w:r>
        <w:rPr>
          <w:rFonts w:hint="eastAsia" w:ascii="仿宋_GB2312" w:eastAsia="仿宋_GB2312"/>
          <w:sz w:val="32"/>
          <w:szCs w:val="32"/>
          <w:lang w:eastAsia="zh-CN"/>
        </w:rPr>
        <w:t>；其他城市基础设施配套费安排的支出（款）支出</w:t>
      </w:r>
      <w:r>
        <w:rPr>
          <w:rFonts w:hint="eastAsia" w:ascii="仿宋_GB2312" w:eastAsia="仿宋_GB2312"/>
          <w:sz w:val="32"/>
          <w:szCs w:val="32"/>
          <w:lang w:val="en-US" w:eastAsia="zh-CN"/>
        </w:rPr>
        <w:t>100万元，主要用于建筑节能及新型墙体材料革新等方面支出。</w:t>
      </w:r>
    </w:p>
    <w:p>
      <w:pPr>
        <w:ind w:firstLine="643" w:firstLineChars="200"/>
        <w:rPr>
          <w:rFonts w:ascii="仿宋_GB2312" w:eastAsia="仿宋_GB2312"/>
          <w:b/>
          <w:sz w:val="32"/>
          <w:szCs w:val="32"/>
        </w:rPr>
      </w:pPr>
      <w:r>
        <w:rPr>
          <w:rFonts w:hint="eastAsia" w:ascii="仿宋_GB2312" w:eastAsia="仿宋_GB2312"/>
          <w:b/>
          <w:sz w:val="32"/>
          <w:szCs w:val="32"/>
        </w:rPr>
        <w:t>四、公共预算财政拨款安排的“三公”经费预算表说明</w:t>
      </w:r>
    </w:p>
    <w:p>
      <w:pPr>
        <w:ind w:left="420" w:leftChars="200" w:firstLine="320" w:firstLineChars="1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4</w:t>
      </w:r>
      <w:r>
        <w:rPr>
          <w:rFonts w:hint="eastAsia" w:ascii="仿宋_GB2312" w:eastAsia="仿宋_GB2312"/>
          <w:sz w:val="32"/>
          <w:szCs w:val="32"/>
        </w:rPr>
        <w:t>年，通过公共预算财政拨款安排的因公出国（境）费</w:t>
      </w:r>
    </w:p>
    <w:p>
      <w:pPr>
        <w:rPr>
          <w:rFonts w:ascii="仿宋_GB2312" w:eastAsia="仿宋_GB2312"/>
          <w:sz w:val="32"/>
          <w:szCs w:val="32"/>
        </w:rPr>
      </w:pPr>
      <w:r>
        <w:rPr>
          <w:rFonts w:hint="eastAsia" w:ascii="仿宋_GB2312" w:eastAsia="仿宋_GB2312"/>
          <w:sz w:val="32"/>
          <w:szCs w:val="32"/>
        </w:rPr>
        <w:t>公务用车购置和运行维护费、公务接待费等“三公”经费预算共</w:t>
      </w:r>
      <w:r>
        <w:rPr>
          <w:rFonts w:hint="eastAsia" w:ascii="仿宋_GB2312" w:eastAsia="仿宋_GB2312"/>
          <w:sz w:val="32"/>
          <w:szCs w:val="32"/>
          <w:lang w:val="en-US" w:eastAsia="zh-CN"/>
        </w:rPr>
        <w:t>49</w:t>
      </w:r>
      <w:r>
        <w:rPr>
          <w:rFonts w:hint="eastAsia" w:ascii="仿宋_GB2312" w:eastAsia="仿宋_GB2312"/>
          <w:sz w:val="32"/>
          <w:szCs w:val="32"/>
        </w:rPr>
        <w:t>.70万元。</w:t>
      </w:r>
    </w:p>
    <w:p>
      <w:pPr>
        <w:ind w:firstLine="640" w:firstLineChars="200"/>
        <w:rPr>
          <w:rFonts w:ascii="仿宋_GB2312" w:eastAsia="仿宋_GB2312"/>
          <w:sz w:val="32"/>
          <w:szCs w:val="32"/>
        </w:rPr>
      </w:pPr>
      <w:r>
        <w:rPr>
          <w:rFonts w:hint="eastAsia" w:ascii="仿宋_GB2312" w:eastAsia="仿宋_GB2312"/>
          <w:sz w:val="32"/>
          <w:szCs w:val="32"/>
        </w:rPr>
        <w:t>（一）公务用车运行维护费预算</w:t>
      </w:r>
      <w:r>
        <w:rPr>
          <w:rFonts w:hint="eastAsia" w:ascii="仿宋_GB2312" w:eastAsia="仿宋_GB2312"/>
          <w:sz w:val="32"/>
          <w:szCs w:val="32"/>
          <w:lang w:val="en-US" w:eastAsia="zh-CN"/>
        </w:rPr>
        <w:t>3</w:t>
      </w:r>
      <w:r>
        <w:rPr>
          <w:rFonts w:hint="eastAsia" w:ascii="仿宋_GB2312" w:eastAsia="仿宋_GB2312"/>
          <w:sz w:val="32"/>
          <w:szCs w:val="32"/>
        </w:rPr>
        <w:t>8.50万元，包括</w:t>
      </w:r>
      <w:r>
        <w:rPr>
          <w:rFonts w:hint="eastAsia" w:ascii="仿宋_GB2312" w:eastAsia="仿宋_GB2312"/>
          <w:sz w:val="32"/>
          <w:szCs w:val="32"/>
          <w:lang w:eastAsia="zh-CN"/>
        </w:rPr>
        <w:t>单位公务用车</w:t>
      </w:r>
      <w:r>
        <w:rPr>
          <w:rFonts w:hint="eastAsia" w:ascii="仿宋_GB2312" w:eastAsia="仿宋_GB2312"/>
          <w:sz w:val="32"/>
          <w:szCs w:val="32"/>
        </w:rPr>
        <w:t>燃料费、维修费、过路过桥费、保险费等</w:t>
      </w:r>
      <w:r>
        <w:rPr>
          <w:rFonts w:hint="eastAsia" w:ascii="仿宋_GB2312" w:eastAsia="仿宋_GB2312"/>
          <w:sz w:val="32"/>
          <w:szCs w:val="32"/>
          <w:lang w:eastAsia="zh-CN"/>
        </w:rPr>
        <w:t>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（二）公务接待费预算1</w:t>
      </w:r>
      <w:r>
        <w:rPr>
          <w:rFonts w:hint="eastAsia" w:ascii="仿宋_GB2312" w:eastAsia="仿宋_GB2312"/>
          <w:sz w:val="32"/>
          <w:szCs w:val="32"/>
          <w:lang w:val="en-US" w:eastAsia="zh-CN"/>
        </w:rPr>
        <w:t>1</w:t>
      </w:r>
      <w:r>
        <w:rPr>
          <w:rFonts w:hint="eastAsia" w:ascii="仿宋_GB2312" w:eastAsia="仿宋_GB2312"/>
          <w:sz w:val="32"/>
          <w:szCs w:val="32"/>
        </w:rPr>
        <w:t>.20万元。包括单位按规定开支的各类公务接待（含外宾接待）支出。</w:t>
      </w:r>
    </w:p>
    <w:sectPr>
      <w:headerReference r:id="rId4" w:type="default"/>
      <w:pgSz w:w="11906" w:h="16838"/>
      <w:pgMar w:top="1644" w:right="1418" w:bottom="153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19440871">
    <w:nsid w:val="0D1466E7"/>
    <w:multiLevelType w:val="multilevel"/>
    <w:tmpl w:val="0D1466E7"/>
    <w:lvl w:ilvl="0" w:tentative="1">
      <w:start w:val="1"/>
      <w:numFmt w:val="japaneseCounting"/>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621379207">
    <w:nsid w:val="25097E87"/>
    <w:multiLevelType w:val="multilevel"/>
    <w:tmpl w:val="25097E87"/>
    <w:lvl w:ilvl="0" w:tentative="1">
      <w:start w:val="1"/>
      <w:numFmt w:val="japaneseCounting"/>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621379207"/>
  </w:num>
  <w:num w:numId="2">
    <w:abstractNumId w:val="2194408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511</Words>
  <Characters>2914</Characters>
  <Lines>24</Lines>
  <Paragraphs>6</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2013-09-23T01:11:00Z</dcterms:created>
  <dc:creator>微软用户</dc:creator>
  <cp:lastModifiedBy>Administrator</cp:lastModifiedBy>
  <cp:lastPrinted>2014-05-15T03:13:12Z</cp:lastPrinted>
  <dcterms:modified xsi:type="dcterms:W3CDTF">2014-05-15T03:17:51Z</dcterms:modified>
  <dc:title>2014年临沂市住房和城乡建设委员会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